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E29D" w14:textId="192A48F6" w:rsidR="002A7DEB" w:rsidRPr="001E40BE" w:rsidRDefault="005E61A8" w:rsidP="005E61A8">
      <w:pPr>
        <w:jc w:val="center"/>
      </w:pPr>
      <w:r>
        <w:rPr>
          <w:noProof/>
        </w:rPr>
        <w:drawing>
          <wp:inline distT="0" distB="0" distL="0" distR="0" wp14:anchorId="7C507B4A" wp14:editId="03543CC9">
            <wp:extent cx="2914132" cy="809405"/>
            <wp:effectExtent l="0" t="0" r="0" b="0"/>
            <wp:docPr id="799424715"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24715" name="Imagen 3" descr="Logotipo&#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5407" cy="815314"/>
                    </a:xfrm>
                    <a:prstGeom prst="rect">
                      <a:avLst/>
                    </a:prstGeom>
                    <a:noFill/>
                    <a:ln>
                      <a:noFill/>
                    </a:ln>
                  </pic:spPr>
                </pic:pic>
              </a:graphicData>
            </a:graphic>
          </wp:inline>
        </w:drawing>
      </w:r>
    </w:p>
    <w:tbl>
      <w:tblPr>
        <w:tblStyle w:val="Tablaconcuadrcula"/>
        <w:tblW w:w="9134" w:type="dxa"/>
        <w:tblInd w:w="137" w:type="dxa"/>
        <w:tblLook w:val="04A0" w:firstRow="1" w:lastRow="0" w:firstColumn="1" w:lastColumn="0" w:noHBand="0" w:noVBand="1"/>
      </w:tblPr>
      <w:tblGrid>
        <w:gridCol w:w="9072"/>
        <w:gridCol w:w="62"/>
      </w:tblGrid>
      <w:tr w:rsidR="00973FC4" w14:paraId="3333DF6C" w14:textId="77777777" w:rsidTr="005E61A8">
        <w:tc>
          <w:tcPr>
            <w:tcW w:w="9134" w:type="dxa"/>
            <w:gridSpan w:val="2"/>
          </w:tcPr>
          <w:p w14:paraId="4F026853" w14:textId="77777777" w:rsidR="00DF052A" w:rsidRPr="00DF052A" w:rsidRDefault="00DF052A" w:rsidP="00DF052A">
            <w:pPr>
              <w:jc w:val="center"/>
              <w:rPr>
                <w:b/>
                <w:bCs/>
              </w:rPr>
            </w:pPr>
            <w:r w:rsidRPr="00DF052A">
              <w:rPr>
                <w:b/>
                <w:bCs/>
              </w:rPr>
              <w:t>BOLETÍN DE LA UNIDAD DE EQUIDAD SOCIAL</w:t>
            </w:r>
          </w:p>
          <w:p w14:paraId="2A692447" w14:textId="77777777" w:rsidR="00DF052A" w:rsidRPr="00DF052A" w:rsidRDefault="00DF052A" w:rsidP="00DF052A">
            <w:pPr>
              <w:jc w:val="center"/>
              <w:rPr>
                <w:b/>
                <w:bCs/>
              </w:rPr>
            </w:pPr>
            <w:r w:rsidRPr="00DF052A">
              <w:rPr>
                <w:b/>
                <w:bCs/>
              </w:rPr>
              <w:t>Número 2: FEBRERO 2026</w:t>
            </w:r>
          </w:p>
          <w:p w14:paraId="5564638C" w14:textId="77777777" w:rsidR="00B12F49" w:rsidRPr="00EC1717" w:rsidRDefault="00B12F49" w:rsidP="00384A11">
            <w:pPr>
              <w:rPr>
                <w:sz w:val="28"/>
                <w:szCs w:val="28"/>
              </w:rPr>
            </w:pPr>
          </w:p>
          <w:p w14:paraId="68525292" w14:textId="77777777" w:rsidR="00EC1717" w:rsidRPr="00EC1717" w:rsidRDefault="00EC1717" w:rsidP="00EC1717">
            <w:pPr>
              <w:jc w:val="center"/>
              <w:rPr>
                <w:rFonts w:eastAsia="Times New Roman"/>
                <w:noProof/>
                <w:sz w:val="28"/>
                <w:szCs w:val="28"/>
              </w:rPr>
            </w:pPr>
            <w:r w:rsidRPr="00EC1717">
              <w:rPr>
                <w:rFonts w:eastAsia="Times New Roman"/>
                <w:noProof/>
                <w:sz w:val="28"/>
                <w:szCs w:val="28"/>
              </w:rPr>
              <w:t>Presentación</w:t>
            </w:r>
          </w:p>
          <w:p w14:paraId="39369E34" w14:textId="77777777" w:rsidR="00EC1717" w:rsidRPr="00EC1717" w:rsidRDefault="00EC1717" w:rsidP="00EC1717">
            <w:pPr>
              <w:jc w:val="center"/>
              <w:rPr>
                <w:rFonts w:eastAsia="Times New Roman"/>
                <w:noProof/>
              </w:rPr>
            </w:pPr>
            <w:r w:rsidRPr="00EC1717">
              <w:rPr>
                <w:rFonts w:eastAsia="Times New Roman"/>
                <w:noProof/>
              </w:rPr>
              <w:t>Por Francisco Miguel</w:t>
            </w:r>
          </w:p>
          <w:p w14:paraId="0339B38A" w14:textId="7F6011B2" w:rsidR="0058133D" w:rsidRPr="0058133D" w:rsidRDefault="00EC1717" w:rsidP="00EC1717">
            <w:pPr>
              <w:jc w:val="center"/>
              <w:rPr>
                <w:rFonts w:eastAsia="Times New Roman"/>
                <w:noProof/>
              </w:rPr>
            </w:pPr>
            <w:r w:rsidRPr="00EC1717">
              <w:rPr>
                <w:rFonts w:eastAsia="Times New Roman"/>
                <w:noProof/>
              </w:rPr>
              <w:t>Mendoza Vela</w:t>
            </w:r>
          </w:p>
          <w:p w14:paraId="5A0B8550" w14:textId="1415DAC1" w:rsidR="0058133D" w:rsidRPr="0058133D" w:rsidRDefault="0058133D" w:rsidP="0058133D">
            <w:pPr>
              <w:rPr>
                <w:rFonts w:eastAsia="Times New Roman"/>
                <w:noProof/>
              </w:rPr>
            </w:pPr>
            <w:r w:rsidRPr="0058133D">
              <w:rPr>
                <w:rFonts w:eastAsia="Times New Roman"/>
                <w:noProof/>
              </w:rPr>
              <w:t>Como docente del Profesorado de la Universidad Autónoma de Madrid y tutor psicopedagógico del Área de Atención a la Diversidad Funcional, mi experiencia educativa ha estado profundamente marcada por el compromiso con la justicia social, la inclusión y la dignidad humana. Acercarme a la realidad de los campamentos saharauis en Tinduf (Argelia) ha supuesto una importante lección de humanidad, que</w:t>
            </w:r>
          </w:p>
          <w:p w14:paraId="4A908042" w14:textId="1DDC5FE8" w:rsidR="0058133D" w:rsidRPr="0058133D" w:rsidRDefault="0058133D" w:rsidP="0058133D">
            <w:pPr>
              <w:rPr>
                <w:rFonts w:eastAsia="Times New Roman"/>
                <w:noProof/>
              </w:rPr>
            </w:pPr>
            <w:r w:rsidRPr="0058133D">
              <w:rPr>
                <w:rFonts w:eastAsia="Times New Roman"/>
                <w:noProof/>
              </w:rPr>
              <w:t>trasciende cualquier contenido académico.</w:t>
            </w:r>
            <w:r w:rsidR="00D64225">
              <w:rPr>
                <w:rFonts w:eastAsia="Times New Roman"/>
                <w:noProof/>
              </w:rPr>
              <w:t xml:space="preserve"> </w:t>
            </w:r>
            <w:r w:rsidRPr="0058133D">
              <w:rPr>
                <w:rFonts w:eastAsia="Times New Roman"/>
                <w:noProof/>
              </w:rPr>
              <w:t>Afortunadamente, conocer la situación de los Centros Educativos destinados a Personas con Discapacidad</w:t>
            </w:r>
            <w:r w:rsidR="00D64225">
              <w:rPr>
                <w:rFonts w:eastAsia="Times New Roman"/>
                <w:noProof/>
              </w:rPr>
              <w:t xml:space="preserve"> </w:t>
            </w:r>
            <w:r w:rsidRPr="0058133D">
              <w:rPr>
                <w:rFonts w:eastAsia="Times New Roman"/>
                <w:noProof/>
              </w:rPr>
              <w:t>Sensorial y Autismo (TEA) en los campamentos es enfrentarse a una realidad sumamente compleja, llena</w:t>
            </w:r>
            <w:r w:rsidR="00D64225">
              <w:rPr>
                <w:rFonts w:eastAsia="Times New Roman"/>
                <w:noProof/>
              </w:rPr>
              <w:t xml:space="preserve"> </w:t>
            </w:r>
            <w:r w:rsidRPr="0058133D">
              <w:rPr>
                <w:rFonts w:eastAsia="Times New Roman"/>
                <w:noProof/>
              </w:rPr>
              <w:t>de carencias materiales, pero también rebosante de fortaleza, creatividad, ilusión y esperanza. En estos</w:t>
            </w:r>
            <w:r w:rsidR="00D64225">
              <w:rPr>
                <w:rFonts w:eastAsia="Times New Roman"/>
                <w:noProof/>
              </w:rPr>
              <w:t xml:space="preserve"> </w:t>
            </w:r>
            <w:r w:rsidRPr="0058133D">
              <w:rPr>
                <w:rFonts w:eastAsia="Times New Roman"/>
                <w:noProof/>
              </w:rPr>
              <w:t>contextos, la educación se convierte en un acto de resistencia y amor, como bien define los estribillos de</w:t>
            </w:r>
            <w:r w:rsidR="00D64225">
              <w:rPr>
                <w:rFonts w:eastAsia="Times New Roman"/>
                <w:noProof/>
              </w:rPr>
              <w:t xml:space="preserve"> </w:t>
            </w:r>
            <w:r w:rsidRPr="0058133D">
              <w:rPr>
                <w:rFonts w:eastAsia="Times New Roman"/>
                <w:noProof/>
              </w:rPr>
              <w:t>la canción “La Estrella Polisaria”, sostenido por profesionales y familias que creen firmemente en el</w:t>
            </w:r>
            <w:r w:rsidR="00D64225">
              <w:rPr>
                <w:rFonts w:eastAsia="Times New Roman"/>
                <w:noProof/>
              </w:rPr>
              <w:t xml:space="preserve"> </w:t>
            </w:r>
            <w:r w:rsidRPr="0058133D">
              <w:rPr>
                <w:rFonts w:eastAsia="Times New Roman"/>
                <w:noProof/>
              </w:rPr>
              <w:t>derecho universal a aprender, independientemente de las circunstancias. Se destaca, desde mi reflexión</w:t>
            </w:r>
            <w:r w:rsidR="00D64225">
              <w:rPr>
                <w:rFonts w:eastAsia="Times New Roman"/>
                <w:noProof/>
              </w:rPr>
              <w:t xml:space="preserve"> </w:t>
            </w:r>
            <w:r w:rsidRPr="0058133D">
              <w:rPr>
                <w:rFonts w:eastAsia="Times New Roman"/>
                <w:noProof/>
              </w:rPr>
              <w:t>personal, la importancia de una mirada empática y comprometida. Por ello, analizar estas realidades no</w:t>
            </w:r>
            <w:r w:rsidR="00D64225">
              <w:rPr>
                <w:rFonts w:eastAsia="Times New Roman"/>
                <w:noProof/>
              </w:rPr>
              <w:t xml:space="preserve"> </w:t>
            </w:r>
            <w:r w:rsidRPr="0058133D">
              <w:rPr>
                <w:rFonts w:eastAsia="Times New Roman"/>
                <w:noProof/>
              </w:rPr>
              <w:t>solo amplía el conocimiento, sino que transforma conciencias, invitando a futuros docentes a educar</w:t>
            </w:r>
            <w:r w:rsidR="00D64225">
              <w:rPr>
                <w:rFonts w:eastAsia="Times New Roman"/>
                <w:noProof/>
              </w:rPr>
              <w:t xml:space="preserve"> </w:t>
            </w:r>
            <w:r w:rsidRPr="0058133D">
              <w:rPr>
                <w:rFonts w:eastAsia="Times New Roman"/>
                <w:noProof/>
              </w:rPr>
              <w:t>desde la sensibilidad, el respeto a la diversidad y la responsabilidad ética, incluyendo en la comunicación</w:t>
            </w:r>
            <w:r w:rsidR="00D64225">
              <w:rPr>
                <w:rFonts w:eastAsia="Times New Roman"/>
                <w:noProof/>
              </w:rPr>
              <w:t xml:space="preserve"> </w:t>
            </w:r>
            <w:r w:rsidRPr="0058133D">
              <w:rPr>
                <w:rFonts w:eastAsia="Times New Roman"/>
                <w:noProof/>
              </w:rPr>
              <w:t>accesible, como la Lengua de Signos.</w:t>
            </w:r>
          </w:p>
          <w:p w14:paraId="66F05ECC" w14:textId="77777777" w:rsidR="0058133D" w:rsidRDefault="0058133D" w:rsidP="0058133D">
            <w:pPr>
              <w:rPr>
                <w:rFonts w:eastAsia="Times New Roman"/>
                <w:noProof/>
              </w:rPr>
            </w:pPr>
            <w:r w:rsidRPr="0058133D">
              <w:rPr>
                <w:rFonts w:eastAsia="Times New Roman"/>
                <w:noProof/>
              </w:rPr>
              <w:t>Los campamentos saharauis nos recuerdan que la INCLUSIÓN no es un privilegio, sino un derecho básico y</w:t>
            </w:r>
            <w:r>
              <w:rPr>
                <w:rFonts w:eastAsia="Times New Roman"/>
                <w:noProof/>
              </w:rPr>
              <w:t xml:space="preserve"> </w:t>
            </w:r>
            <w:r w:rsidRPr="0058133D">
              <w:rPr>
                <w:rFonts w:eastAsia="Times New Roman"/>
                <w:noProof/>
              </w:rPr>
              <w:t>fundamental, y que la educación de personas con discapacidad debe situarse en el centro de cualquier</w:t>
            </w:r>
            <w:r>
              <w:rPr>
                <w:rFonts w:eastAsia="Times New Roman"/>
                <w:noProof/>
              </w:rPr>
              <w:t xml:space="preserve"> </w:t>
            </w:r>
            <w:r w:rsidRPr="0058133D">
              <w:rPr>
                <w:rFonts w:eastAsia="Times New Roman"/>
                <w:noProof/>
              </w:rPr>
              <w:t>PROYECTO SOCIAL, como UNICEF y UAM, especialmente en contextos de extrema vulnerabilidad. Como</w:t>
            </w:r>
            <w:r>
              <w:rPr>
                <w:rFonts w:eastAsia="Times New Roman"/>
                <w:noProof/>
              </w:rPr>
              <w:t xml:space="preserve"> </w:t>
            </w:r>
            <w:r w:rsidRPr="0058133D">
              <w:rPr>
                <w:rFonts w:eastAsia="Times New Roman"/>
                <w:noProof/>
              </w:rPr>
              <w:t>persona, docente y tutor psicopedagógico, me siento agradecido por poder acompañar estos</w:t>
            </w:r>
            <w:r>
              <w:rPr>
                <w:rFonts w:eastAsia="Times New Roman"/>
                <w:noProof/>
              </w:rPr>
              <w:t xml:space="preserve"> </w:t>
            </w:r>
            <w:r w:rsidRPr="0058133D">
              <w:rPr>
                <w:rFonts w:eastAsia="Times New Roman"/>
                <w:noProof/>
              </w:rPr>
              <w:t>aprendizajes, convencido de que una educación humanizadora es capaz de sembrar semillas de cambio,</w:t>
            </w:r>
            <w:r>
              <w:rPr>
                <w:rFonts w:eastAsia="Times New Roman"/>
                <w:noProof/>
              </w:rPr>
              <w:t xml:space="preserve"> </w:t>
            </w:r>
            <w:r w:rsidRPr="0058133D">
              <w:rPr>
                <w:rFonts w:eastAsia="Times New Roman"/>
                <w:noProof/>
              </w:rPr>
              <w:t>solidaridad y esperanza en las generaciones futuras.</w:t>
            </w:r>
          </w:p>
          <w:p w14:paraId="043237FC" w14:textId="77777777" w:rsidR="0043034E" w:rsidRDefault="0043034E" w:rsidP="0058133D">
            <w:pPr>
              <w:rPr>
                <w:rFonts w:eastAsia="Times New Roman"/>
                <w:noProof/>
              </w:rPr>
            </w:pPr>
          </w:p>
          <w:p w14:paraId="0DE20704" w14:textId="1E359F8C" w:rsidR="005E61A8" w:rsidRPr="0058133D" w:rsidRDefault="005E61A8" w:rsidP="0058133D">
            <w:pPr>
              <w:rPr>
                <w:rFonts w:eastAsia="Times New Roman"/>
                <w:noProof/>
              </w:rPr>
            </w:pPr>
          </w:p>
        </w:tc>
      </w:tr>
      <w:tr w:rsidR="00F3632A" w14:paraId="4713CD96" w14:textId="77777777" w:rsidTr="002D5E41">
        <w:trPr>
          <w:gridAfter w:val="1"/>
          <w:wAfter w:w="62" w:type="dxa"/>
        </w:trPr>
        <w:tc>
          <w:tcPr>
            <w:tcW w:w="9072" w:type="dxa"/>
          </w:tcPr>
          <w:p w14:paraId="20A3CD9D" w14:textId="1392F59A" w:rsidR="00F3632A" w:rsidRDefault="00F3632A" w:rsidP="00507452">
            <w:pPr>
              <w:jc w:val="center"/>
              <w:rPr>
                <w:b/>
                <w:bCs/>
              </w:rPr>
            </w:pPr>
            <w:r>
              <w:rPr>
                <w:b/>
                <w:bCs/>
              </w:rPr>
              <w:t>NOTICIAS DESTACADAS</w:t>
            </w:r>
          </w:p>
        </w:tc>
      </w:tr>
      <w:tr w:rsidR="002D5437" w14:paraId="41DBB787" w14:textId="77777777" w:rsidTr="002D5E41">
        <w:trPr>
          <w:gridAfter w:val="1"/>
          <w:wAfter w:w="62" w:type="dxa"/>
        </w:trPr>
        <w:tc>
          <w:tcPr>
            <w:tcW w:w="9072" w:type="dxa"/>
          </w:tcPr>
          <w:p w14:paraId="6061D934" w14:textId="02693EAF" w:rsidR="002D5437" w:rsidRDefault="002D5437" w:rsidP="00384A11"/>
          <w:p w14:paraId="7FD1018A" w14:textId="4CD69D6A" w:rsidR="002D5437" w:rsidRDefault="002D5437" w:rsidP="00384A11">
            <w:pPr>
              <w:rPr>
                <w:rFonts w:eastAsia="Times New Roman"/>
                <w:noProof/>
              </w:rPr>
            </w:pPr>
            <w:r w:rsidRPr="007F1EDA">
              <w:rPr>
                <w:rFonts w:eastAsia="Times New Roman"/>
                <w:noProof/>
              </w:rPr>
              <w:t xml:space="preserve">El día </w:t>
            </w:r>
            <w:r w:rsidRPr="007F1EDA">
              <w:rPr>
                <w:rFonts w:eastAsia="Times New Roman"/>
                <w:b/>
                <w:bCs/>
                <w:noProof/>
              </w:rPr>
              <w:t>3 de diciembre de 2025</w:t>
            </w:r>
            <w:r w:rsidRPr="007F1EDA">
              <w:rPr>
                <w:rFonts w:eastAsia="Times New Roman"/>
                <w:noProof/>
              </w:rPr>
              <w:t xml:space="preserve">, con motivo del </w:t>
            </w:r>
            <w:r w:rsidRPr="007F1EDA">
              <w:rPr>
                <w:rFonts w:eastAsia="Times New Roman"/>
                <w:b/>
                <w:bCs/>
                <w:noProof/>
              </w:rPr>
              <w:t>Día Internacional de las Personas con Discapacidad</w:t>
            </w:r>
            <w:r w:rsidRPr="007F1EDA">
              <w:rPr>
                <w:rFonts w:eastAsia="Times New Roman"/>
                <w:noProof/>
              </w:rPr>
              <w:t>, se realizaron a lo largo de toda la jornada</w:t>
            </w:r>
            <w:r>
              <w:rPr>
                <w:rFonts w:eastAsia="Times New Roman"/>
                <w:noProof/>
              </w:rPr>
              <w:t xml:space="preserve"> </w:t>
            </w:r>
            <w:r w:rsidRPr="007F1EDA">
              <w:rPr>
                <w:rFonts w:eastAsia="Times New Roman"/>
                <w:b/>
                <w:bCs/>
                <w:noProof/>
              </w:rPr>
              <w:t>diferentes talleres</w:t>
            </w:r>
            <w:r w:rsidRPr="007F1EDA">
              <w:rPr>
                <w:rFonts w:eastAsia="Times New Roman"/>
                <w:noProof/>
              </w:rPr>
              <w:t xml:space="preserve"> vinculados a la inclusión de las personas con diversidad funcional en el entorno universitario</w:t>
            </w:r>
            <w:r>
              <w:rPr>
                <w:rFonts w:eastAsia="Times New Roman"/>
                <w:noProof/>
              </w:rPr>
              <w:t>.</w:t>
            </w:r>
          </w:p>
          <w:p w14:paraId="2B691217" w14:textId="62B412F1" w:rsidR="002D5437" w:rsidRDefault="002D5437" w:rsidP="00B9662F">
            <w:pPr>
              <w:rPr>
                <w:rFonts w:eastAsia="Times New Roman"/>
                <w:noProof/>
              </w:rPr>
            </w:pPr>
            <w:hyperlink r:id="rId8" w:history="1">
              <w:r w:rsidRPr="007349EA">
                <w:rPr>
                  <w:rStyle w:val="Hipervnculo"/>
                  <w:rFonts w:eastAsia="Times New Roman"/>
                  <w:noProof/>
                </w:rPr>
                <w:t>Más información</w:t>
              </w:r>
            </w:hyperlink>
          </w:p>
          <w:p w14:paraId="240729CF" w14:textId="352246C1" w:rsidR="002D5437" w:rsidRDefault="002D5437" w:rsidP="00384A11"/>
        </w:tc>
      </w:tr>
      <w:tr w:rsidR="002D5437" w14:paraId="3039F381" w14:textId="77777777" w:rsidTr="002D5E41">
        <w:trPr>
          <w:gridAfter w:val="1"/>
          <w:wAfter w:w="62" w:type="dxa"/>
        </w:trPr>
        <w:tc>
          <w:tcPr>
            <w:tcW w:w="9072" w:type="dxa"/>
          </w:tcPr>
          <w:p w14:paraId="72D3CD18" w14:textId="77777777" w:rsidR="002D5437" w:rsidRPr="0057408D" w:rsidRDefault="002D5437" w:rsidP="0057408D">
            <w:pPr>
              <w:rPr>
                <w:b/>
                <w:bCs/>
              </w:rPr>
            </w:pPr>
            <w:r w:rsidRPr="0057408D">
              <w:rPr>
                <w:b/>
                <w:bCs/>
              </w:rPr>
              <w:lastRenderedPageBreak/>
              <w:t>Voces y signos: primera interpretación en lengua de signos del Coro de la UAM.</w:t>
            </w:r>
          </w:p>
          <w:p w14:paraId="62D531B1" w14:textId="77777777" w:rsidR="0043034E" w:rsidRDefault="0043034E" w:rsidP="008A0C73"/>
          <w:p w14:paraId="42700D47" w14:textId="159A7DB4" w:rsidR="002D5437" w:rsidRDefault="002D5437" w:rsidP="008A0C73">
            <w:r>
              <w:t xml:space="preserve">El pasado 3 de diciembre, con motivo del día internacional de las personas con discapacidad, se interpretó por primera vez en lengua de signos una actuación del Coro de la UAM. ¡Gracias por hacerlo posible! </w:t>
            </w:r>
          </w:p>
          <w:p w14:paraId="5FBA247F" w14:textId="77777777" w:rsidR="002D5437" w:rsidRDefault="002D5437" w:rsidP="00900CB6">
            <w:hyperlink r:id="rId9" w:history="1">
              <w:r w:rsidRPr="00C95B43">
                <w:rPr>
                  <w:rStyle w:val="Hipervnculo"/>
                </w:rPr>
                <w:t>Accede a la noticia</w:t>
              </w:r>
            </w:hyperlink>
          </w:p>
          <w:p w14:paraId="47DE24E3" w14:textId="79D82535" w:rsidR="002D5437" w:rsidRDefault="002D5437" w:rsidP="00384A11"/>
        </w:tc>
      </w:tr>
      <w:tr w:rsidR="002D5437" w14:paraId="308CF3BD" w14:textId="77777777" w:rsidTr="002D5E41">
        <w:trPr>
          <w:gridAfter w:val="1"/>
          <w:wAfter w:w="62" w:type="dxa"/>
        </w:trPr>
        <w:tc>
          <w:tcPr>
            <w:tcW w:w="9072" w:type="dxa"/>
          </w:tcPr>
          <w:p w14:paraId="40954819" w14:textId="6C5E5590" w:rsidR="002D5437" w:rsidRDefault="002D5437" w:rsidP="00384A11">
            <w:pPr>
              <w:rPr>
                <w:rFonts w:eastAsia="Times New Roman"/>
                <w:noProof/>
              </w:rPr>
            </w:pPr>
          </w:p>
          <w:p w14:paraId="6527CF3E" w14:textId="77777777" w:rsidR="002D5437" w:rsidRPr="00C95B43" w:rsidRDefault="002D5437" w:rsidP="00157898">
            <w:pPr>
              <w:rPr>
                <w:rFonts w:eastAsia="Times New Roman"/>
                <w:b/>
                <w:bCs/>
                <w:noProof/>
              </w:rPr>
            </w:pPr>
            <w:r w:rsidRPr="00C95B43">
              <w:rPr>
                <w:rFonts w:eastAsia="Times New Roman"/>
                <w:b/>
                <w:bCs/>
                <w:noProof/>
              </w:rPr>
              <w:t>X Jornadas de Trabajo SAPDU</w:t>
            </w:r>
          </w:p>
          <w:p w14:paraId="7DC19ED9" w14:textId="77777777" w:rsidR="002D5437" w:rsidRDefault="002D5437" w:rsidP="00157898">
            <w:pPr>
              <w:rPr>
                <w:rFonts w:eastAsia="Times New Roman"/>
                <w:noProof/>
              </w:rPr>
            </w:pPr>
          </w:p>
          <w:p w14:paraId="65E32F92" w14:textId="43465F44" w:rsidR="002D5437" w:rsidRPr="00157898" w:rsidRDefault="002D5437" w:rsidP="00157898">
            <w:pPr>
              <w:rPr>
                <w:rFonts w:eastAsia="Times New Roman"/>
                <w:noProof/>
              </w:rPr>
            </w:pPr>
            <w:r w:rsidRPr="00157898">
              <w:rPr>
                <w:rFonts w:eastAsia="Times New Roman"/>
                <w:noProof/>
              </w:rPr>
              <w:t>La Universidad de Alcalá de Henares acogió los días 15 y 16 de diciembre 2025 las X Jornadas de trabajo de la Red SAPDU. En dicha jornada se abordaron y debatieron temas de actualidad e interés para las universidades en relación a la atención al estudiantado con discapacidad y o necesidades específicas de apoyo educativo.</w:t>
            </w:r>
          </w:p>
          <w:p w14:paraId="57A4F00B" w14:textId="77777777" w:rsidR="002D5437" w:rsidRPr="00157898" w:rsidRDefault="002D5437" w:rsidP="00157898">
            <w:pPr>
              <w:rPr>
                <w:rFonts w:eastAsia="Times New Roman"/>
                <w:noProof/>
              </w:rPr>
            </w:pPr>
            <w:r w:rsidRPr="00157898">
              <w:rPr>
                <w:rFonts w:eastAsia="Times New Roman"/>
                <w:noProof/>
              </w:rPr>
              <w:t>Desde la UAM acudieron las dos técnicas del Área de Atención a la Diversidad Funcional de la Unidad de Equidad Social Andrea Calvo Sánchez y Eva Acedo Rueda.</w:t>
            </w:r>
          </w:p>
          <w:p w14:paraId="7C35A1CB" w14:textId="043C01E4" w:rsidR="002D5437" w:rsidRDefault="002D5437" w:rsidP="00900CB6">
            <w:pPr>
              <w:rPr>
                <w:rFonts w:eastAsia="Times New Roman"/>
                <w:noProof/>
              </w:rPr>
            </w:pPr>
            <w:hyperlink r:id="rId10" w:history="1">
              <w:r w:rsidRPr="0011157C">
                <w:rPr>
                  <w:rStyle w:val="Hipervnculo"/>
                  <w:rFonts w:eastAsia="Times New Roman"/>
                  <w:noProof/>
                </w:rPr>
                <w:t>Más información</w:t>
              </w:r>
            </w:hyperlink>
          </w:p>
        </w:tc>
      </w:tr>
      <w:tr w:rsidR="002D5437" w14:paraId="67BCCB16" w14:textId="77777777" w:rsidTr="002D5E41">
        <w:trPr>
          <w:gridAfter w:val="1"/>
          <w:wAfter w:w="62" w:type="dxa"/>
        </w:trPr>
        <w:tc>
          <w:tcPr>
            <w:tcW w:w="9072" w:type="dxa"/>
          </w:tcPr>
          <w:p w14:paraId="230E3BAA" w14:textId="17F5DA82" w:rsidR="002D5437" w:rsidRDefault="002D5437" w:rsidP="00384A11">
            <w:pPr>
              <w:rPr>
                <w:b/>
                <w:bCs/>
              </w:rPr>
            </w:pPr>
          </w:p>
          <w:p w14:paraId="696CC171" w14:textId="631B22AD" w:rsidR="002D5437" w:rsidRDefault="002D5437" w:rsidP="00384A11">
            <w:pPr>
              <w:rPr>
                <w:rFonts w:eastAsia="Times New Roman"/>
                <w:b/>
                <w:bCs/>
                <w:noProof/>
              </w:rPr>
            </w:pPr>
            <w:r>
              <w:rPr>
                <w:rFonts w:eastAsia="Times New Roman"/>
                <w:b/>
                <w:bCs/>
                <w:noProof/>
              </w:rPr>
              <w:t xml:space="preserve">La UAM obtiene el </w:t>
            </w:r>
            <w:r w:rsidRPr="00022F90">
              <w:rPr>
                <w:rFonts w:eastAsia="Times New Roman"/>
                <w:b/>
                <w:bCs/>
                <w:noProof/>
              </w:rPr>
              <w:t>Sello de Compromiso de MetaRed S</w:t>
            </w:r>
            <w:r>
              <w:rPr>
                <w:rFonts w:eastAsia="Times New Roman"/>
                <w:b/>
                <w:bCs/>
                <w:noProof/>
              </w:rPr>
              <w:t>.</w:t>
            </w:r>
          </w:p>
          <w:p w14:paraId="0C45EA77" w14:textId="77777777" w:rsidR="002D5437" w:rsidRPr="00301AD6" w:rsidRDefault="002D5437" w:rsidP="00384A11">
            <w:pPr>
              <w:rPr>
                <w:rFonts w:eastAsia="Times New Roman"/>
                <w:noProof/>
              </w:rPr>
            </w:pPr>
            <w:r w:rsidRPr="00301AD6">
              <w:rPr>
                <w:rFonts w:eastAsia="Times New Roman"/>
                <w:noProof/>
              </w:rPr>
              <w:t>Este sello es un reconocimiento al rigor y la transparencia de su universidad en la gestión de indicadores de sostenibilidad, así como a su voluntad de contribuir activamente a la mejora del impacto social y ambiental de las Instituciones de Educación Superior en el ámbito iberoamericano.</w:t>
            </w:r>
          </w:p>
          <w:p w14:paraId="7140859C" w14:textId="0D213C95" w:rsidR="002D5437" w:rsidRPr="00377612" w:rsidRDefault="002D5437" w:rsidP="00900CB6">
            <w:pPr>
              <w:rPr>
                <w:rFonts w:eastAsia="Times New Roman"/>
                <w:b/>
                <w:bCs/>
                <w:noProof/>
              </w:rPr>
            </w:pPr>
            <w:hyperlink r:id="rId11" w:history="1">
              <w:r w:rsidRPr="00377612">
                <w:rPr>
                  <w:rStyle w:val="Hipervnculo"/>
                  <w:rFonts w:eastAsia="Times New Roman"/>
                  <w:b/>
                  <w:bCs/>
                  <w:noProof/>
                </w:rPr>
                <w:t>Mas información</w:t>
              </w:r>
            </w:hyperlink>
          </w:p>
          <w:p w14:paraId="233FF593" w14:textId="77777777" w:rsidR="002D5437" w:rsidRPr="00771E82" w:rsidRDefault="002D5437" w:rsidP="00384A11">
            <w:pPr>
              <w:rPr>
                <w:rFonts w:eastAsia="Times New Roman"/>
                <w:b/>
                <w:bCs/>
                <w:noProof/>
              </w:rPr>
            </w:pPr>
          </w:p>
        </w:tc>
      </w:tr>
      <w:tr w:rsidR="002D5437" w14:paraId="322D147C" w14:textId="77777777" w:rsidTr="002D5E41">
        <w:trPr>
          <w:gridAfter w:val="1"/>
          <w:wAfter w:w="62" w:type="dxa"/>
        </w:trPr>
        <w:tc>
          <w:tcPr>
            <w:tcW w:w="9072" w:type="dxa"/>
          </w:tcPr>
          <w:p w14:paraId="0EEF0589" w14:textId="77777777" w:rsidR="002D5437" w:rsidRDefault="002D5437" w:rsidP="00EB4E1B">
            <w:pPr>
              <w:rPr>
                <w:b/>
                <w:bCs/>
              </w:rPr>
            </w:pPr>
            <w:r>
              <w:rPr>
                <w:b/>
                <w:bCs/>
              </w:rPr>
              <w:t>Cooperación y diversidad funcional</w:t>
            </w:r>
          </w:p>
          <w:p w14:paraId="02B41E28" w14:textId="77777777" w:rsidR="002D5437" w:rsidRDefault="002D5437" w:rsidP="00EB4E1B">
            <w:r>
              <w:t>La Unidad de Equidad Social ha formado parte de una delegación institucional de la UAM en los campamentos de personas refugiadas saharauis en Tinduf (Argelia), para la detección de necesidades en diversidad funcional de la población refugiada.</w:t>
            </w:r>
          </w:p>
          <w:p w14:paraId="3EC50267" w14:textId="77777777" w:rsidR="002D5437" w:rsidRDefault="002D5437" w:rsidP="00900CB6">
            <w:hyperlink r:id="rId12" w:history="1">
              <w:r w:rsidRPr="003B41C0">
                <w:rPr>
                  <w:rStyle w:val="Hipervnculo"/>
                </w:rPr>
                <w:t>Más información</w:t>
              </w:r>
            </w:hyperlink>
          </w:p>
          <w:p w14:paraId="165ABDB9" w14:textId="1A9669C3" w:rsidR="002D5437" w:rsidRDefault="002D5437" w:rsidP="00384A11"/>
        </w:tc>
      </w:tr>
      <w:tr w:rsidR="002D5437" w14:paraId="6B6D92EF" w14:textId="77777777" w:rsidTr="002D5E41">
        <w:trPr>
          <w:gridAfter w:val="1"/>
          <w:wAfter w:w="62" w:type="dxa"/>
        </w:trPr>
        <w:tc>
          <w:tcPr>
            <w:tcW w:w="9072" w:type="dxa"/>
          </w:tcPr>
          <w:p w14:paraId="4C2F0A3B" w14:textId="77777777" w:rsidR="002D5437" w:rsidRDefault="002D5437" w:rsidP="00384A11">
            <w:pPr>
              <w:rPr>
                <w:rFonts w:eastAsia="Times New Roman"/>
                <w:noProof/>
              </w:rPr>
            </w:pPr>
          </w:p>
          <w:p w14:paraId="5413C79C" w14:textId="77BE541A" w:rsidR="002D5437" w:rsidRPr="00DF052A" w:rsidRDefault="002D5437" w:rsidP="00384A11">
            <w:pPr>
              <w:rPr>
                <w:rFonts w:eastAsia="Times New Roman"/>
                <w:b/>
                <w:bCs/>
                <w:noProof/>
              </w:rPr>
            </w:pPr>
            <w:r w:rsidRPr="00DF052A">
              <w:rPr>
                <w:rFonts w:eastAsia="Times New Roman"/>
                <w:b/>
                <w:bCs/>
                <w:noProof/>
              </w:rPr>
              <w:t>Taller “Diversidad e inclusión en contextos internacionales”.</w:t>
            </w:r>
          </w:p>
          <w:p w14:paraId="6D608F62" w14:textId="77777777" w:rsidR="002D5437" w:rsidRPr="00BC7C63" w:rsidRDefault="002D5437" w:rsidP="00384A11">
            <w:pPr>
              <w:rPr>
                <w:rFonts w:eastAsia="Times New Roman"/>
                <w:noProof/>
              </w:rPr>
            </w:pPr>
          </w:p>
          <w:p w14:paraId="513542E5" w14:textId="77777777" w:rsidR="002D5437" w:rsidRDefault="002D5437" w:rsidP="00384A11">
            <w:pPr>
              <w:rPr>
                <w:rFonts w:eastAsia="Times New Roman"/>
                <w:noProof/>
              </w:rPr>
            </w:pPr>
            <w:r w:rsidRPr="00BC7C63">
              <w:rPr>
                <w:rFonts w:eastAsia="Times New Roman"/>
                <w:noProof/>
              </w:rPr>
              <w:t xml:space="preserve">La Unidad de Equidad Social participó en el seminario  formación a la salida el pasado 29 de enero, dentro del Programa de </w:t>
            </w:r>
            <w:r>
              <w:rPr>
                <w:rFonts w:eastAsia="Times New Roman"/>
                <w:noProof/>
              </w:rPr>
              <w:t>P</w:t>
            </w:r>
            <w:r w:rsidRPr="00BC7C63">
              <w:rPr>
                <w:rFonts w:eastAsia="Times New Roman"/>
                <w:noProof/>
              </w:rPr>
              <w:t xml:space="preserve">rácticas en </w:t>
            </w:r>
            <w:r>
              <w:rPr>
                <w:rFonts w:eastAsia="Times New Roman"/>
                <w:noProof/>
              </w:rPr>
              <w:t>C</w:t>
            </w:r>
            <w:r w:rsidRPr="00BC7C63">
              <w:rPr>
                <w:rFonts w:eastAsia="Times New Roman"/>
                <w:noProof/>
              </w:rPr>
              <w:t xml:space="preserve">ooperación al </w:t>
            </w:r>
            <w:r>
              <w:rPr>
                <w:rFonts w:eastAsia="Times New Roman"/>
                <w:noProof/>
              </w:rPr>
              <w:t>D</w:t>
            </w:r>
            <w:r w:rsidRPr="00BC7C63">
              <w:rPr>
                <w:rFonts w:eastAsia="Times New Roman"/>
                <w:noProof/>
              </w:rPr>
              <w:t>esarrollo, que ofrece  ofrece la oportunidad de realizar las prácticas externas curriculares de Grado en el marco de un proyecto de Cooperación al Desarrollo sobre el terreno, en un país empobrecido del Sur.</w:t>
            </w:r>
          </w:p>
          <w:p w14:paraId="685AE0F1" w14:textId="77777777" w:rsidR="005E61A8" w:rsidRDefault="00900CB6" w:rsidP="00384A11">
            <w:pPr>
              <w:rPr>
                <w:rFonts w:eastAsia="Times New Roman"/>
                <w:noProof/>
              </w:rPr>
            </w:pPr>
            <w:hyperlink r:id="rId13" w:history="1">
              <w:r w:rsidRPr="00900CB6">
                <w:rPr>
                  <w:rStyle w:val="Hipervnculo"/>
                  <w:rFonts w:eastAsia="Times New Roman"/>
                  <w:noProof/>
                </w:rPr>
                <w:t>Más información</w:t>
              </w:r>
            </w:hyperlink>
          </w:p>
          <w:p w14:paraId="3243BB1A" w14:textId="441D6BB0" w:rsidR="00900CB6" w:rsidRDefault="00900CB6" w:rsidP="00384A11">
            <w:pPr>
              <w:rPr>
                <w:rFonts w:eastAsia="Times New Roman"/>
                <w:noProof/>
              </w:rPr>
            </w:pPr>
          </w:p>
        </w:tc>
      </w:tr>
      <w:tr w:rsidR="002D5437" w14:paraId="3DDCA6D3" w14:textId="77777777" w:rsidTr="002D5E41">
        <w:trPr>
          <w:gridAfter w:val="1"/>
          <w:wAfter w:w="62" w:type="dxa"/>
        </w:trPr>
        <w:tc>
          <w:tcPr>
            <w:tcW w:w="9072" w:type="dxa"/>
          </w:tcPr>
          <w:p w14:paraId="5205FF9D" w14:textId="59F6A9C3" w:rsidR="002D5437" w:rsidRDefault="002D5437" w:rsidP="00384A11"/>
          <w:p w14:paraId="58F99170" w14:textId="0B803F38" w:rsidR="002D5437" w:rsidRDefault="002D5437" w:rsidP="00804A7C">
            <w:pPr>
              <w:rPr>
                <w:b/>
                <w:bCs/>
              </w:rPr>
            </w:pPr>
            <w:r>
              <w:rPr>
                <w:b/>
                <w:bCs/>
              </w:rPr>
              <w:t>¿Sabías que la UAM tiene protocolos contra el acoso?</w:t>
            </w:r>
          </w:p>
          <w:p w14:paraId="3991B140" w14:textId="77777777" w:rsidR="002D5437" w:rsidRDefault="002D5437" w:rsidP="00384A11">
            <w:r>
              <w:t>Publicados nuevos formatos de lectura fácil e infografías de la documentación puesta a disposición de la comunidad UAM para prevenir el acoso en la Universidad.</w:t>
            </w:r>
          </w:p>
          <w:p w14:paraId="2549C2D0" w14:textId="77777777" w:rsidR="002D5437" w:rsidRDefault="002D5437" w:rsidP="00384A11">
            <w:hyperlink r:id="rId14" w:history="1">
              <w:r w:rsidRPr="0058052E">
                <w:rPr>
                  <w:rStyle w:val="Hipervnculo"/>
                </w:rPr>
                <w:t>Más información</w:t>
              </w:r>
            </w:hyperlink>
            <w:r>
              <w:t xml:space="preserve"> </w:t>
            </w:r>
          </w:p>
          <w:p w14:paraId="19C361E2" w14:textId="77777777" w:rsidR="002D5437" w:rsidRDefault="002D5437" w:rsidP="00384A11"/>
          <w:p w14:paraId="778ED70B" w14:textId="77777777" w:rsidR="002D5437" w:rsidRDefault="002D5437" w:rsidP="00384A11"/>
        </w:tc>
      </w:tr>
      <w:tr w:rsidR="000F4ABE" w14:paraId="72CD73D2" w14:textId="77777777" w:rsidTr="002D5E41">
        <w:trPr>
          <w:gridAfter w:val="1"/>
          <w:wAfter w:w="62" w:type="dxa"/>
        </w:trPr>
        <w:tc>
          <w:tcPr>
            <w:tcW w:w="9072" w:type="dxa"/>
          </w:tcPr>
          <w:p w14:paraId="53DC7345" w14:textId="18FD09CD" w:rsidR="00D141CA" w:rsidRPr="00D141CA" w:rsidRDefault="00D141CA" w:rsidP="00D141CA">
            <w:pPr>
              <w:rPr>
                <w:rFonts w:eastAsia="Times New Roman"/>
                <w:b/>
                <w:bCs/>
                <w:noProof/>
              </w:rPr>
            </w:pPr>
            <w:r>
              <w:rPr>
                <w:rFonts w:eastAsia="Times New Roman"/>
                <w:b/>
                <w:bCs/>
                <w:noProof/>
              </w:rPr>
              <w:lastRenderedPageBreak/>
              <w:t>L</w:t>
            </w:r>
            <w:r w:rsidRPr="00D141CA">
              <w:rPr>
                <w:rFonts w:eastAsia="Times New Roman"/>
                <w:b/>
                <w:bCs/>
                <w:noProof/>
              </w:rPr>
              <w:t>a AMSP</w:t>
            </w:r>
            <w:hyperlink r:id="rId15" w:tgtFrame="_blank" w:history="1">
              <w:r w:rsidRPr="00D141CA">
                <w:rPr>
                  <w:rStyle w:val="Hipervnculo"/>
                  <w:rFonts w:eastAsia="Times New Roman"/>
                  <w:b/>
                  <w:bCs/>
                  <w:noProof/>
                </w:rPr>
                <w:t xml:space="preserve"> </w:t>
              </w:r>
            </w:hyperlink>
            <w:r w:rsidRPr="00D141CA">
              <w:rPr>
                <w:rFonts w:eastAsia="Times New Roman"/>
                <w:b/>
                <w:bCs/>
                <w:noProof/>
              </w:rPr>
              <w:t>y la Universidad Autónoma de Madrid celebran una jornada sobre igualdad, discapacidad y empleo público</w:t>
            </w:r>
          </w:p>
          <w:p w14:paraId="4B3F02D8" w14:textId="77777777" w:rsidR="00D141CA" w:rsidRPr="00D141CA" w:rsidRDefault="00D141CA" w:rsidP="00D141CA">
            <w:pPr>
              <w:rPr>
                <w:rFonts w:eastAsia="Times New Roman"/>
                <w:noProof/>
              </w:rPr>
            </w:pPr>
            <w:r w:rsidRPr="00D141CA">
              <w:rPr>
                <w:rFonts w:eastAsia="Times New Roman"/>
                <w:noProof/>
              </w:rPr>
              <w:t>La Asociación Mujeres en el Sector Público (AMSP) celebró el pasado 12 de febrero una jornada dedicada a la igualdad, la discapacidad y el empleo público, organizada junto con la Universidad Autónoma de Madrid. El encuentro tuvo lugar ent en el Salón de Actos del Colegio Mayor Juan Luis Vives y contó con la actuación del coro de la UAM.</w:t>
            </w:r>
          </w:p>
          <w:p w14:paraId="4B5CFE12" w14:textId="77777777" w:rsidR="00D141CA" w:rsidRPr="00D141CA" w:rsidRDefault="00D141CA" w:rsidP="00D141CA">
            <w:pPr>
              <w:rPr>
                <w:rFonts w:eastAsia="Times New Roman"/>
                <w:b/>
                <w:bCs/>
                <w:noProof/>
              </w:rPr>
            </w:pPr>
            <w:hyperlink r:id="rId16" w:tgtFrame="_blank" w:history="1">
              <w:r w:rsidRPr="00D141CA">
                <w:rPr>
                  <w:rStyle w:val="Hipervnculo"/>
                  <w:rFonts w:eastAsia="Times New Roman"/>
                  <w:b/>
                  <w:bCs/>
                  <w:noProof/>
                </w:rPr>
                <w:t>Más información</w:t>
              </w:r>
            </w:hyperlink>
          </w:p>
          <w:p w14:paraId="28EEF8D9" w14:textId="77777777" w:rsidR="000F4ABE" w:rsidRDefault="000F4ABE" w:rsidP="00384A11"/>
        </w:tc>
      </w:tr>
      <w:tr w:rsidR="004623C5" w14:paraId="419291C3" w14:textId="77777777" w:rsidTr="002D5E41">
        <w:trPr>
          <w:gridAfter w:val="1"/>
          <w:wAfter w:w="62" w:type="dxa"/>
        </w:trPr>
        <w:tc>
          <w:tcPr>
            <w:tcW w:w="9072" w:type="dxa"/>
            <w:tcBorders>
              <w:bottom w:val="single" w:sz="4" w:space="0" w:color="auto"/>
            </w:tcBorders>
          </w:tcPr>
          <w:p w14:paraId="4DDD65AE" w14:textId="3E4093F1" w:rsidR="004623C5" w:rsidRPr="00507452" w:rsidRDefault="004623C5" w:rsidP="00384A11">
            <w:pPr>
              <w:jc w:val="center"/>
              <w:rPr>
                <w:rFonts w:eastAsia="Times New Roman"/>
                <w:b/>
                <w:bCs/>
                <w:noProof/>
              </w:rPr>
            </w:pPr>
            <w:r w:rsidRPr="00507452">
              <w:rPr>
                <w:rFonts w:eastAsia="Times New Roman"/>
                <w:b/>
                <w:bCs/>
                <w:noProof/>
              </w:rPr>
              <w:t>PR</w:t>
            </w:r>
            <w:r w:rsidR="00B9662F">
              <w:rPr>
                <w:rFonts w:eastAsia="Times New Roman"/>
                <w:b/>
                <w:bCs/>
                <w:noProof/>
              </w:rPr>
              <w:t>Ó</w:t>
            </w:r>
            <w:r w:rsidRPr="00507452">
              <w:rPr>
                <w:rFonts w:eastAsia="Times New Roman"/>
                <w:b/>
                <w:bCs/>
                <w:noProof/>
              </w:rPr>
              <w:t>XIMAMENTE</w:t>
            </w:r>
          </w:p>
        </w:tc>
      </w:tr>
      <w:tr w:rsidR="002D5437" w14:paraId="41B37A5A" w14:textId="77777777" w:rsidTr="002D5E41">
        <w:trPr>
          <w:gridAfter w:val="1"/>
          <w:wAfter w:w="62" w:type="dxa"/>
        </w:trPr>
        <w:tc>
          <w:tcPr>
            <w:tcW w:w="9072" w:type="dxa"/>
            <w:tcBorders>
              <w:right w:val="single" w:sz="4" w:space="0" w:color="auto"/>
            </w:tcBorders>
          </w:tcPr>
          <w:p w14:paraId="18396804" w14:textId="77777777" w:rsidR="002D5437" w:rsidRPr="00F03C9C" w:rsidRDefault="002D5437" w:rsidP="00384A11">
            <w:pPr>
              <w:rPr>
                <w:b/>
                <w:bCs/>
                <w:i/>
                <w:iCs/>
                <w:lang w:val="en-US"/>
              </w:rPr>
            </w:pPr>
            <w:proofErr w:type="spellStart"/>
            <w:r w:rsidRPr="00F03C9C">
              <w:rPr>
                <w:b/>
                <w:bCs/>
                <w:i/>
                <w:iCs/>
                <w:lang w:val="en-US"/>
              </w:rPr>
              <w:t>OpenLab</w:t>
            </w:r>
            <w:proofErr w:type="spellEnd"/>
            <w:r w:rsidRPr="00F03C9C">
              <w:rPr>
                <w:b/>
                <w:bCs/>
                <w:i/>
                <w:iCs/>
                <w:lang w:val="en-US"/>
              </w:rPr>
              <w:t xml:space="preserve"> </w:t>
            </w:r>
            <w:proofErr w:type="gramStart"/>
            <w:r w:rsidRPr="00F03C9C">
              <w:rPr>
                <w:b/>
                <w:bCs/>
                <w:i/>
                <w:iCs/>
                <w:lang w:val="en-US"/>
              </w:rPr>
              <w:t>CIVIS</w:t>
            </w:r>
            <w:r>
              <w:rPr>
                <w:b/>
                <w:bCs/>
                <w:i/>
                <w:iCs/>
                <w:lang w:val="en-US"/>
              </w:rPr>
              <w:t xml:space="preserve"> </w:t>
            </w:r>
            <w:r w:rsidRPr="00F03C9C">
              <w:rPr>
                <w:b/>
                <w:bCs/>
                <w:i/>
                <w:iCs/>
                <w:lang w:val="en-US"/>
              </w:rPr>
              <w:t xml:space="preserve"> “</w:t>
            </w:r>
            <w:proofErr w:type="gramEnd"/>
            <w:r w:rsidRPr="00F03C9C">
              <w:rPr>
                <w:b/>
                <w:bCs/>
                <w:i/>
                <w:iCs/>
                <w:lang w:val="en-US"/>
              </w:rPr>
              <w:t>How can universities engage more inclusively with migration and cultural diversity?”</w:t>
            </w:r>
          </w:p>
          <w:p w14:paraId="6D581899" w14:textId="77777777" w:rsidR="002D5437" w:rsidRDefault="002D5437" w:rsidP="00384A11">
            <w:r>
              <w:t xml:space="preserve">Seminario web que </w:t>
            </w:r>
            <w:r w:rsidRPr="007C568B">
              <w:t>analiza cómo las universidades pueden colaborar de forma más inclusiva con comunidades migrantes y diversas</w:t>
            </w:r>
            <w:r>
              <w:t>.</w:t>
            </w:r>
          </w:p>
          <w:p w14:paraId="67B499CB" w14:textId="77777777" w:rsidR="002D5437" w:rsidRDefault="002D5437" w:rsidP="00384A11">
            <w:pPr>
              <w:rPr>
                <w:b/>
                <w:bCs/>
              </w:rPr>
            </w:pPr>
          </w:p>
          <w:p w14:paraId="167CF676" w14:textId="77777777" w:rsidR="002D5437" w:rsidRDefault="002D5437" w:rsidP="00384A11">
            <w:pPr>
              <w:pStyle w:val="Prrafodelista"/>
              <w:numPr>
                <w:ilvl w:val="0"/>
                <w:numId w:val="4"/>
              </w:numPr>
            </w:pPr>
            <w:r w:rsidRPr="00103281">
              <w:t>16 de febrero de 2026, de 13:00 a 14:00 (CET</w:t>
            </w:r>
            <w:r w:rsidRPr="00A279AF">
              <w:t xml:space="preserve"> </w:t>
            </w:r>
          </w:p>
          <w:p w14:paraId="5307CE0E" w14:textId="77777777" w:rsidR="002D5437" w:rsidRDefault="002D5437" w:rsidP="00384A11">
            <w:pPr>
              <w:pStyle w:val="Prrafodelista"/>
              <w:numPr>
                <w:ilvl w:val="0"/>
                <w:numId w:val="4"/>
              </w:numPr>
            </w:pPr>
            <w:r w:rsidRPr="00A279AF">
              <w:t xml:space="preserve">interés para docentes, PTGAS o estudiantado. </w:t>
            </w:r>
          </w:p>
          <w:p w14:paraId="6D78C9F9" w14:textId="77777777" w:rsidR="002D5437" w:rsidRDefault="002D5437" w:rsidP="00384A11">
            <w:pPr>
              <w:pStyle w:val="Prrafodelista"/>
              <w:numPr>
                <w:ilvl w:val="0"/>
                <w:numId w:val="4"/>
              </w:numPr>
            </w:pPr>
            <w:r w:rsidRPr="00103281">
              <w:t>No requiere inscripción</w:t>
            </w:r>
          </w:p>
          <w:p w14:paraId="4DE93BF5" w14:textId="77777777" w:rsidR="002D5437" w:rsidRDefault="002D5437" w:rsidP="00384A11">
            <w:pPr>
              <w:pStyle w:val="Prrafodelista"/>
              <w:numPr>
                <w:ilvl w:val="0"/>
                <w:numId w:val="4"/>
              </w:numPr>
            </w:pPr>
            <w:r>
              <w:t>P</w:t>
            </w:r>
            <w:r w:rsidRPr="00103281">
              <w:t>odrá seguirse</w:t>
            </w:r>
            <w:r w:rsidRPr="00650A06">
              <w:t xml:space="preserve"> </w:t>
            </w:r>
            <w:hyperlink r:id="rId17" w:history="1">
              <w:r w:rsidRPr="00B4385A">
                <w:rPr>
                  <w:rStyle w:val="Hipervnculo"/>
                </w:rPr>
                <w:t>aquí</w:t>
              </w:r>
            </w:hyperlink>
            <w:r>
              <w:t xml:space="preserve"> (inglés)</w:t>
            </w:r>
          </w:p>
          <w:p w14:paraId="07AE126E" w14:textId="784D1A83" w:rsidR="002D5437" w:rsidRPr="00103281" w:rsidRDefault="00D651ED" w:rsidP="00D651ED">
            <w:r>
              <w:t xml:space="preserve">  </w:t>
            </w:r>
            <w:hyperlink r:id="rId18" w:history="1">
              <w:r w:rsidR="002D5437" w:rsidRPr="008C0E60">
                <w:rPr>
                  <w:rStyle w:val="Hipervnculo"/>
                </w:rPr>
                <w:t>Más información</w:t>
              </w:r>
            </w:hyperlink>
          </w:p>
          <w:p w14:paraId="3C05B311" w14:textId="77777777" w:rsidR="002D5437" w:rsidRDefault="002D5437" w:rsidP="00D651ED">
            <w:pPr>
              <w:pStyle w:val="Prrafodelista"/>
              <w:jc w:val="center"/>
            </w:pPr>
          </w:p>
        </w:tc>
      </w:tr>
      <w:tr w:rsidR="002D5437" w14:paraId="2E24FC96" w14:textId="77777777" w:rsidTr="002D5E41">
        <w:trPr>
          <w:gridAfter w:val="1"/>
          <w:wAfter w:w="62" w:type="dxa"/>
        </w:trPr>
        <w:tc>
          <w:tcPr>
            <w:tcW w:w="9072" w:type="dxa"/>
          </w:tcPr>
          <w:p w14:paraId="22F8641A" w14:textId="77777777" w:rsidR="002D5437" w:rsidRPr="00F03C9C" w:rsidRDefault="002D5437" w:rsidP="00384A11">
            <w:pPr>
              <w:rPr>
                <w:b/>
                <w:bCs/>
                <w:i/>
                <w:iCs/>
                <w:lang w:val="en-US"/>
              </w:rPr>
            </w:pPr>
          </w:p>
        </w:tc>
      </w:tr>
      <w:tr w:rsidR="002D5437" w14:paraId="041B2AB2" w14:textId="77777777" w:rsidTr="002D5E41">
        <w:trPr>
          <w:gridAfter w:val="1"/>
          <w:wAfter w:w="62" w:type="dxa"/>
        </w:trPr>
        <w:tc>
          <w:tcPr>
            <w:tcW w:w="9072" w:type="dxa"/>
          </w:tcPr>
          <w:p w14:paraId="2437DA71" w14:textId="77777777" w:rsidR="002D5437" w:rsidRDefault="002D5437" w:rsidP="00384A11">
            <w:pPr>
              <w:rPr>
                <w:b/>
                <w:bCs/>
                <w:noProof/>
              </w:rPr>
            </w:pPr>
            <w:r w:rsidRPr="00B7567D">
              <w:rPr>
                <w:b/>
                <w:bCs/>
                <w:noProof/>
              </w:rPr>
              <w:t>Taller “Introducción básica a la lengua de signos”.</w:t>
            </w:r>
          </w:p>
          <w:p w14:paraId="0DC3EDC8" w14:textId="77777777" w:rsidR="002D5437" w:rsidRPr="00835600" w:rsidRDefault="002D5437" w:rsidP="00384A11">
            <w:pPr>
              <w:pStyle w:val="Prrafodelista"/>
              <w:numPr>
                <w:ilvl w:val="0"/>
                <w:numId w:val="7"/>
              </w:numPr>
              <w:rPr>
                <w:noProof/>
              </w:rPr>
            </w:pPr>
            <w:r>
              <w:rPr>
                <w:noProof/>
              </w:rPr>
              <w:t xml:space="preserve">2h 30 min. </w:t>
            </w:r>
            <w:r w:rsidRPr="00835600">
              <w:rPr>
                <w:noProof/>
              </w:rPr>
              <w:t>Carácter práctico</w:t>
            </w:r>
          </w:p>
          <w:p w14:paraId="3085C522" w14:textId="77777777" w:rsidR="002D5437" w:rsidRDefault="002D5437" w:rsidP="00384A11">
            <w:pPr>
              <w:pStyle w:val="Prrafodelista"/>
              <w:numPr>
                <w:ilvl w:val="0"/>
                <w:numId w:val="7"/>
              </w:numPr>
              <w:rPr>
                <w:noProof/>
              </w:rPr>
            </w:pPr>
            <w:r>
              <w:rPr>
                <w:noProof/>
              </w:rPr>
              <w:t>11 de marzo de 2026</w:t>
            </w:r>
          </w:p>
          <w:p w14:paraId="16E87B07" w14:textId="77777777" w:rsidR="002D5437" w:rsidRDefault="002D5437" w:rsidP="00384A11">
            <w:pPr>
              <w:pStyle w:val="Prrafodelista"/>
              <w:numPr>
                <w:ilvl w:val="0"/>
                <w:numId w:val="7"/>
              </w:numPr>
              <w:rPr>
                <w:noProof/>
              </w:rPr>
            </w:pPr>
            <w:r>
              <w:rPr>
                <w:noProof/>
              </w:rPr>
              <w:t>dos turnos posibles</w:t>
            </w:r>
          </w:p>
          <w:p w14:paraId="25146D7C" w14:textId="77777777" w:rsidR="002D5437" w:rsidRDefault="002D5437" w:rsidP="00900CB6">
            <w:pPr>
              <w:ind w:left="360"/>
              <w:rPr>
                <w:noProof/>
              </w:rPr>
            </w:pPr>
            <w:hyperlink r:id="rId19" w:history="1">
              <w:r w:rsidRPr="00B7567D">
                <w:rPr>
                  <w:rStyle w:val="Hipervnculo"/>
                  <w:noProof/>
                </w:rPr>
                <w:t>Más información</w:t>
              </w:r>
            </w:hyperlink>
            <w:r>
              <w:rPr>
                <w:noProof/>
              </w:rPr>
              <w:t xml:space="preserve"> </w:t>
            </w:r>
          </w:p>
          <w:p w14:paraId="22FA5CEA" w14:textId="17641B70" w:rsidR="002D5437" w:rsidRDefault="002D5437" w:rsidP="00384A11">
            <w:pPr>
              <w:rPr>
                <w:b/>
                <w:bCs/>
                <w:i/>
                <w:iCs/>
              </w:rPr>
            </w:pPr>
          </w:p>
          <w:p w14:paraId="79CB3773" w14:textId="77777777" w:rsidR="002D5437" w:rsidRPr="00AB378B" w:rsidRDefault="002D5437" w:rsidP="00384A11">
            <w:pPr>
              <w:rPr>
                <w:b/>
                <w:bCs/>
                <w:i/>
                <w:iCs/>
              </w:rPr>
            </w:pPr>
          </w:p>
        </w:tc>
      </w:tr>
      <w:tr w:rsidR="00E41696" w14:paraId="3377BB2C" w14:textId="77777777" w:rsidTr="002D5E41">
        <w:trPr>
          <w:gridAfter w:val="1"/>
          <w:wAfter w:w="62" w:type="dxa"/>
        </w:trPr>
        <w:tc>
          <w:tcPr>
            <w:tcW w:w="9072" w:type="dxa"/>
          </w:tcPr>
          <w:p w14:paraId="527388AA" w14:textId="06AF70FF" w:rsidR="00E41696" w:rsidRDefault="00E41696" w:rsidP="00E41696">
            <w:pPr>
              <w:rPr>
                <w:b/>
                <w:bCs/>
                <w:noProof/>
              </w:rPr>
            </w:pPr>
            <w:r>
              <w:rPr>
                <w:b/>
                <w:bCs/>
                <w:noProof/>
              </w:rPr>
              <w:t>Atención al estudiantado con discapacidad y necesidades especiales</w:t>
            </w:r>
            <w:r w:rsidR="00F1759B">
              <w:rPr>
                <w:b/>
                <w:bCs/>
                <w:noProof/>
              </w:rPr>
              <w:t xml:space="preserve"> (presencial 10 horas)</w:t>
            </w:r>
          </w:p>
          <w:p w14:paraId="69EA9DC3" w14:textId="77777777" w:rsidR="00C63659" w:rsidRDefault="00C63659" w:rsidP="00DE428D">
            <w:pPr>
              <w:rPr>
                <w:noProof/>
              </w:rPr>
            </w:pPr>
          </w:p>
          <w:p w14:paraId="17B582E5" w14:textId="330F382B" w:rsidR="00DE428D" w:rsidRPr="00DE428D" w:rsidRDefault="00C63659" w:rsidP="00DE428D">
            <w:pPr>
              <w:rPr>
                <w:noProof/>
              </w:rPr>
            </w:pPr>
            <w:r>
              <w:rPr>
                <w:noProof/>
              </w:rPr>
              <w:t>Co</w:t>
            </w:r>
            <w:r w:rsidR="00060333">
              <w:rPr>
                <w:noProof/>
              </w:rPr>
              <w:t xml:space="preserve">ntendos: </w:t>
            </w:r>
            <w:r w:rsidR="00DE428D" w:rsidRPr="00DE428D">
              <w:rPr>
                <w:noProof/>
              </w:rPr>
              <w:t>Área de Atención a la Diversidad Funcional, reflexión sobre actitudes, mitos y realidades relacionadas con la discapacidad, incluyendo testimonios de estudiantes (</w:t>
            </w:r>
            <w:r>
              <w:rPr>
                <w:noProof/>
              </w:rPr>
              <w:t xml:space="preserve">discrimanciones </w:t>
            </w:r>
            <w:r w:rsidR="00DE428D" w:rsidRPr="00DE428D">
              <w:rPr>
                <w:noProof/>
              </w:rPr>
              <w:t>visibles y no visibles)</w:t>
            </w:r>
            <w:r>
              <w:rPr>
                <w:noProof/>
              </w:rPr>
              <w:t>, p</w:t>
            </w:r>
            <w:r w:rsidR="00DE428D" w:rsidRPr="00DE428D">
              <w:rPr>
                <w:noProof/>
              </w:rPr>
              <w:t>autas concretas para una comunicación adecuada con el estudiantado cuando acuden a oficinas y servicios universitarios.</w:t>
            </w:r>
          </w:p>
          <w:p w14:paraId="71C8418C" w14:textId="77777777" w:rsidR="00C2755F" w:rsidRPr="00E41696" w:rsidRDefault="00C2755F" w:rsidP="00E41696">
            <w:pPr>
              <w:rPr>
                <w:b/>
                <w:bCs/>
                <w:noProof/>
              </w:rPr>
            </w:pPr>
          </w:p>
          <w:p w14:paraId="2F8B0801" w14:textId="63D22684" w:rsidR="00C2755F" w:rsidRPr="00222063" w:rsidRDefault="00C2755F" w:rsidP="00F1759B">
            <w:pPr>
              <w:pStyle w:val="Prrafodelista"/>
              <w:numPr>
                <w:ilvl w:val="0"/>
                <w:numId w:val="13"/>
              </w:numPr>
              <w:rPr>
                <w:noProof/>
              </w:rPr>
            </w:pPr>
            <w:r w:rsidRPr="00222063">
              <w:rPr>
                <w:noProof/>
              </w:rPr>
              <w:t>dirigido a PTGAS UAM</w:t>
            </w:r>
          </w:p>
          <w:p w14:paraId="569F9840" w14:textId="755064B5" w:rsidR="00E41696" w:rsidRPr="00222063" w:rsidRDefault="00E41696" w:rsidP="00222063">
            <w:pPr>
              <w:pStyle w:val="Prrafodelista"/>
              <w:numPr>
                <w:ilvl w:val="0"/>
                <w:numId w:val="13"/>
              </w:numPr>
              <w:rPr>
                <w:noProof/>
              </w:rPr>
            </w:pPr>
            <w:r w:rsidRPr="00222063">
              <w:rPr>
                <w:noProof/>
              </w:rPr>
              <w:t>Fechas: 10, 12, 17 y 19 de marzo</w:t>
            </w:r>
            <w:r w:rsidR="00222063">
              <w:rPr>
                <w:noProof/>
              </w:rPr>
              <w:t xml:space="preserve"> </w:t>
            </w:r>
            <w:r w:rsidRPr="00222063">
              <w:rPr>
                <w:noProof/>
              </w:rPr>
              <w:t>de 11:00 a 13:30h</w:t>
            </w:r>
          </w:p>
          <w:p w14:paraId="6F844819" w14:textId="1F60CB23" w:rsidR="00F1759B" w:rsidRPr="00222063" w:rsidRDefault="002F6683" w:rsidP="00F1759B">
            <w:pPr>
              <w:pStyle w:val="Prrafodelista"/>
              <w:numPr>
                <w:ilvl w:val="0"/>
                <w:numId w:val="13"/>
              </w:numPr>
              <w:rPr>
                <w:noProof/>
              </w:rPr>
            </w:pPr>
            <w:r w:rsidRPr="00222063">
              <w:rPr>
                <w:noProof/>
              </w:rPr>
              <w:t>Inscripción vía portal del empleado</w:t>
            </w:r>
          </w:p>
          <w:p w14:paraId="25BF3597" w14:textId="77777777" w:rsidR="00E41696" w:rsidRPr="00B7567D" w:rsidRDefault="00E41696" w:rsidP="00384A11">
            <w:pPr>
              <w:rPr>
                <w:b/>
                <w:bCs/>
                <w:noProof/>
              </w:rPr>
            </w:pPr>
          </w:p>
        </w:tc>
      </w:tr>
      <w:tr w:rsidR="002D5437" w14:paraId="19E6A487" w14:textId="77777777" w:rsidTr="002D5E41">
        <w:trPr>
          <w:gridAfter w:val="1"/>
          <w:wAfter w:w="62" w:type="dxa"/>
        </w:trPr>
        <w:tc>
          <w:tcPr>
            <w:tcW w:w="9072" w:type="dxa"/>
          </w:tcPr>
          <w:p w14:paraId="16CD8662" w14:textId="77777777" w:rsidR="002D5437" w:rsidRDefault="002D5437" w:rsidP="00384A11">
            <w:pPr>
              <w:rPr>
                <w:b/>
                <w:bCs/>
              </w:rPr>
            </w:pPr>
            <w:r w:rsidRPr="00AB6A15">
              <w:rPr>
                <w:b/>
                <w:bCs/>
              </w:rPr>
              <w:t>XV Encuentro Red SAPDU</w:t>
            </w:r>
          </w:p>
          <w:p w14:paraId="65A909F5" w14:textId="77777777" w:rsidR="002D5437" w:rsidRPr="00AB6A15" w:rsidRDefault="002D5437" w:rsidP="00384A11">
            <w:pPr>
              <w:rPr>
                <w:b/>
                <w:bCs/>
              </w:rPr>
            </w:pPr>
            <w:r>
              <w:rPr>
                <w:b/>
                <w:bCs/>
              </w:rPr>
              <w:t>“Del hilo a la red, tejiendo el bien común”</w:t>
            </w:r>
          </w:p>
          <w:p w14:paraId="20EFEA3A" w14:textId="77777777" w:rsidR="002D5437" w:rsidRPr="00AB6A15" w:rsidRDefault="002D5437" w:rsidP="00384A11">
            <w:pPr>
              <w:pStyle w:val="Prrafodelista"/>
              <w:numPr>
                <w:ilvl w:val="0"/>
                <w:numId w:val="5"/>
              </w:numPr>
            </w:pPr>
            <w:r w:rsidRPr="00AB6A15">
              <w:t>Palma, 5 y 6 de marzo de 2026</w:t>
            </w:r>
          </w:p>
          <w:p w14:paraId="693D8CB6" w14:textId="77777777" w:rsidR="00D651ED" w:rsidRDefault="002D5437" w:rsidP="00D651ED">
            <w:pPr>
              <w:pStyle w:val="Prrafodelista"/>
              <w:rPr>
                <w:lang w:val="fr-FR"/>
              </w:rPr>
            </w:pPr>
            <w:proofErr w:type="spellStart"/>
            <w:r w:rsidRPr="00440817">
              <w:rPr>
                <w:lang w:val="fr-FR"/>
              </w:rPr>
              <w:lastRenderedPageBreak/>
              <w:t>Universitat</w:t>
            </w:r>
            <w:proofErr w:type="spellEnd"/>
            <w:r w:rsidRPr="00440817">
              <w:rPr>
                <w:lang w:val="fr-FR"/>
              </w:rPr>
              <w:t xml:space="preserve"> de les Illes </w:t>
            </w:r>
            <w:proofErr w:type="spellStart"/>
            <w:r w:rsidRPr="00440817">
              <w:rPr>
                <w:lang w:val="fr-FR"/>
              </w:rPr>
              <w:t>Balears</w:t>
            </w:r>
            <w:proofErr w:type="spellEnd"/>
            <w:r w:rsidRPr="00440817">
              <w:rPr>
                <w:lang w:val="fr-FR"/>
              </w:rPr>
              <w:t>.</w:t>
            </w:r>
          </w:p>
          <w:p w14:paraId="31FC6DBB" w14:textId="0D3945F5" w:rsidR="002D5437" w:rsidRPr="00D651ED" w:rsidRDefault="002D5437" w:rsidP="00D651ED">
            <w:pPr>
              <w:pStyle w:val="Prrafodelista"/>
            </w:pPr>
            <w:r w:rsidRPr="00AB6A15">
              <w:t>Abierto el periodo de inscripción hasta el 15 de febrero.</w:t>
            </w:r>
          </w:p>
          <w:p w14:paraId="3C0A5FF9" w14:textId="77777777" w:rsidR="002D5437" w:rsidRPr="00AB6A15" w:rsidRDefault="002D5437" w:rsidP="00900CB6">
            <w:hyperlink r:id="rId20" w:history="1">
              <w:r w:rsidRPr="007E08F8">
                <w:rPr>
                  <w:rStyle w:val="Hipervnculo"/>
                </w:rPr>
                <w:t>Más información</w:t>
              </w:r>
            </w:hyperlink>
          </w:p>
          <w:p w14:paraId="7510A068" w14:textId="77777777" w:rsidR="002D5437" w:rsidRDefault="002D5437" w:rsidP="00384A11"/>
        </w:tc>
      </w:tr>
      <w:tr w:rsidR="009F6935" w14:paraId="2AE95D73" w14:textId="77777777" w:rsidTr="002D5E41">
        <w:trPr>
          <w:gridAfter w:val="1"/>
          <w:wAfter w:w="62" w:type="dxa"/>
        </w:trPr>
        <w:tc>
          <w:tcPr>
            <w:tcW w:w="9072" w:type="dxa"/>
          </w:tcPr>
          <w:p w14:paraId="16573718" w14:textId="3755E0BB" w:rsidR="009F6935" w:rsidRPr="005878E3" w:rsidRDefault="002D5437" w:rsidP="002958A3">
            <w:pPr>
              <w:jc w:val="center"/>
              <w:rPr>
                <w:b/>
                <w:bCs/>
              </w:rPr>
            </w:pPr>
            <w:r>
              <w:rPr>
                <w:b/>
                <w:bCs/>
              </w:rPr>
              <w:lastRenderedPageBreak/>
              <w:t>FORMACIÓN DOCENTE</w:t>
            </w:r>
          </w:p>
        </w:tc>
      </w:tr>
      <w:tr w:rsidR="002D5437" w14:paraId="44A81D83" w14:textId="77777777" w:rsidTr="002D5E41">
        <w:trPr>
          <w:gridAfter w:val="1"/>
          <w:wAfter w:w="62" w:type="dxa"/>
        </w:trPr>
        <w:tc>
          <w:tcPr>
            <w:tcW w:w="9072" w:type="dxa"/>
          </w:tcPr>
          <w:p w14:paraId="20B49268" w14:textId="38578C53" w:rsidR="002D5437" w:rsidRPr="000F1116" w:rsidRDefault="002D5437" w:rsidP="00384A11">
            <w:pPr>
              <w:rPr>
                <w:b/>
                <w:bCs/>
                <w:noProof/>
              </w:rPr>
            </w:pPr>
            <w:r w:rsidRPr="000F1116">
              <w:rPr>
                <w:b/>
                <w:bCs/>
                <w:noProof/>
              </w:rPr>
              <w:t>Estrategias prácticas para adaptar la docencia a la discapacidad visual</w:t>
            </w:r>
          </w:p>
          <w:p w14:paraId="4A615B0D" w14:textId="77777777" w:rsidR="002D5437" w:rsidRDefault="002D5437" w:rsidP="00384A11">
            <w:pPr>
              <w:rPr>
                <w:noProof/>
              </w:rPr>
            </w:pPr>
          </w:p>
          <w:p w14:paraId="13EECF34" w14:textId="77777777" w:rsidR="002D5437" w:rsidRPr="00216E50" w:rsidRDefault="002D5437" w:rsidP="00033D35">
            <w:pPr>
              <w:pStyle w:val="Prrafodelista"/>
              <w:rPr>
                <w:noProof/>
              </w:rPr>
            </w:pPr>
            <w:r w:rsidRPr="00033D35">
              <w:rPr>
                <w:noProof/>
              </w:rPr>
              <w:t>1. Conocer los fundamentos legales de la educación inclusiva.</w:t>
            </w:r>
            <w:r w:rsidRPr="00033D35">
              <w:rPr>
                <w:noProof/>
              </w:rPr>
              <w:br/>
              <w:t>2. Fomentar un ambiente de aula participativo y respetuoso con la diversidad.</w:t>
            </w:r>
            <w:r w:rsidRPr="00033D35">
              <w:rPr>
                <w:noProof/>
              </w:rPr>
              <w:br/>
              <w:t>3. Identificar las necesidades específicas del estudiantado con discapacidad visual.</w:t>
            </w:r>
            <w:r w:rsidRPr="00033D35">
              <w:rPr>
                <w:noProof/>
              </w:rPr>
              <w:br/>
              <w:t>4. Desarrollar y aplicar estrategias inclusivas en la planificación, ejecución y evaluación de las clases.</w:t>
            </w:r>
            <w:r w:rsidRPr="00033D35">
              <w:rPr>
                <w:noProof/>
              </w:rPr>
              <w:br/>
              <w:t>5. Diseñar materiales accesibles que cumplan con los estándares de accesibilidad.</w:t>
            </w:r>
          </w:p>
          <w:p w14:paraId="4B8FAA53" w14:textId="77777777" w:rsidR="002D5437" w:rsidRDefault="002D5437" w:rsidP="00186D4C">
            <w:pPr>
              <w:ind w:left="360"/>
              <w:rPr>
                <w:noProof/>
              </w:rPr>
            </w:pPr>
          </w:p>
          <w:p w14:paraId="618600FA" w14:textId="77777777" w:rsidR="002D5437" w:rsidRPr="00691344" w:rsidRDefault="002D5437" w:rsidP="00186D4C">
            <w:pPr>
              <w:ind w:left="360"/>
              <w:rPr>
                <w:noProof/>
              </w:rPr>
            </w:pPr>
            <w:r>
              <w:rPr>
                <w:noProof/>
              </w:rPr>
              <w:t xml:space="preserve">1 ECTS: Sesiones en febrero y marzo Acceso vía </w:t>
            </w:r>
            <w:hyperlink r:id="rId21" w:history="1">
              <w:r w:rsidRPr="00D115AF">
                <w:rPr>
                  <w:rStyle w:val="Hipervnculo"/>
                  <w:noProof/>
                </w:rPr>
                <w:t>Plataforma de formación Docente</w:t>
              </w:r>
            </w:hyperlink>
          </w:p>
          <w:p w14:paraId="6A3B5994" w14:textId="77777777" w:rsidR="00D651ED" w:rsidRDefault="00D651ED" w:rsidP="00D651ED">
            <w:pPr>
              <w:rPr>
                <w:rFonts w:eastAsia="Times New Roman"/>
                <w:b/>
                <w:bCs/>
                <w:noProof/>
              </w:rPr>
            </w:pPr>
          </w:p>
          <w:p w14:paraId="300A7688" w14:textId="47B44802" w:rsidR="00D651ED" w:rsidRDefault="00D651ED" w:rsidP="00D651ED">
            <w:pPr>
              <w:rPr>
                <w:rFonts w:eastAsia="Times New Roman"/>
                <w:b/>
                <w:bCs/>
                <w:noProof/>
              </w:rPr>
            </w:pPr>
            <w:r w:rsidRPr="00F74F5A">
              <w:rPr>
                <w:rFonts w:eastAsia="Times New Roman"/>
                <w:b/>
                <w:bCs/>
                <w:noProof/>
              </w:rPr>
              <w:t>Co-Educar en Igualdad y Diversidad</w:t>
            </w:r>
          </w:p>
          <w:p w14:paraId="1C721B6C" w14:textId="77777777" w:rsidR="00D651ED" w:rsidRPr="00682358" w:rsidRDefault="00D651ED" w:rsidP="00D651ED">
            <w:pPr>
              <w:pStyle w:val="Prrafodelista"/>
              <w:numPr>
                <w:ilvl w:val="0"/>
                <w:numId w:val="5"/>
              </w:numPr>
              <w:rPr>
                <w:rFonts w:eastAsia="Times New Roman"/>
                <w:noProof/>
              </w:rPr>
            </w:pPr>
            <w:r w:rsidRPr="00682358">
              <w:rPr>
                <w:rFonts w:eastAsia="Times New Roman"/>
                <w:noProof/>
              </w:rPr>
              <w:t>Conocer los retos que existen en la sociedad española para promover la igualdad y la diversidad.</w:t>
            </w:r>
          </w:p>
          <w:p w14:paraId="6092B3CE" w14:textId="77777777" w:rsidR="00D651ED" w:rsidRPr="00682358" w:rsidRDefault="00D651ED" w:rsidP="00D651ED">
            <w:pPr>
              <w:pStyle w:val="Prrafodelista"/>
              <w:numPr>
                <w:ilvl w:val="0"/>
                <w:numId w:val="5"/>
              </w:numPr>
              <w:rPr>
                <w:rFonts w:eastAsia="Times New Roman"/>
                <w:noProof/>
              </w:rPr>
            </w:pPr>
            <w:r w:rsidRPr="00682358">
              <w:rPr>
                <w:rFonts w:eastAsia="Times New Roman"/>
                <w:noProof/>
              </w:rPr>
              <w:t>Conocer la desigualdad de género (y otras interrelacionadas) existentes en el contexto universitario y en la UAM.</w:t>
            </w:r>
          </w:p>
          <w:p w14:paraId="6C925BB8" w14:textId="77777777" w:rsidR="00D651ED" w:rsidRPr="00682358" w:rsidRDefault="00D651ED" w:rsidP="00D651ED">
            <w:pPr>
              <w:pStyle w:val="Prrafodelista"/>
              <w:numPr>
                <w:ilvl w:val="0"/>
                <w:numId w:val="5"/>
              </w:numPr>
              <w:rPr>
                <w:rFonts w:eastAsia="Times New Roman"/>
                <w:noProof/>
              </w:rPr>
            </w:pPr>
            <w:r w:rsidRPr="00682358">
              <w:rPr>
                <w:rFonts w:eastAsia="Times New Roman"/>
                <w:noProof/>
              </w:rPr>
              <w:t>Conocer qué es la co-educación y adquirir herramientas para promover la igualdad y la diversidad en el aula.</w:t>
            </w:r>
            <w:r>
              <w:rPr>
                <w:rFonts w:eastAsia="Times New Roman"/>
                <w:b/>
                <w:bCs/>
                <w:noProof/>
              </w:rPr>
              <w:t xml:space="preserve"> 0’5 ECTS</w:t>
            </w:r>
            <w:r>
              <w:t xml:space="preserve">2 y 3 de abril. Acceso vía </w:t>
            </w:r>
            <w:hyperlink r:id="rId22" w:history="1">
              <w:r w:rsidRPr="00F90BE0">
                <w:rPr>
                  <w:rStyle w:val="Hipervnculo"/>
                </w:rPr>
                <w:t>Plataforma de formación docente</w:t>
              </w:r>
            </w:hyperlink>
          </w:p>
          <w:p w14:paraId="7A6B99C8" w14:textId="45D59143" w:rsidR="00D651ED" w:rsidRDefault="00D651ED" w:rsidP="00D651ED">
            <w:pPr>
              <w:rPr>
                <w:rFonts w:eastAsia="Times New Roman"/>
                <w:b/>
                <w:bCs/>
                <w:noProof/>
              </w:rPr>
            </w:pPr>
          </w:p>
          <w:p w14:paraId="5AAA11F4" w14:textId="77777777" w:rsidR="00D651ED" w:rsidRPr="00565786" w:rsidRDefault="00D651ED" w:rsidP="00D651ED">
            <w:pPr>
              <w:rPr>
                <w:b/>
                <w:bCs/>
                <w:noProof/>
              </w:rPr>
            </w:pPr>
            <w:r w:rsidRPr="00565786">
              <w:rPr>
                <w:b/>
                <w:bCs/>
                <w:noProof/>
              </w:rPr>
              <w:t>Integrar género e interseccionalidad en la docencia</w:t>
            </w:r>
          </w:p>
          <w:p w14:paraId="497FA857" w14:textId="77777777" w:rsidR="00D651ED" w:rsidRDefault="00D651ED" w:rsidP="00D651ED">
            <w:pPr>
              <w:rPr>
                <w:noProof/>
              </w:rPr>
            </w:pPr>
          </w:p>
          <w:p w14:paraId="4169DE42" w14:textId="77777777" w:rsidR="00D651ED" w:rsidRPr="005878E3" w:rsidRDefault="00D651ED" w:rsidP="00D651ED">
            <w:pPr>
              <w:pStyle w:val="Prrafodelista"/>
              <w:numPr>
                <w:ilvl w:val="0"/>
                <w:numId w:val="9"/>
              </w:numPr>
              <w:rPr>
                <w:noProof/>
              </w:rPr>
            </w:pPr>
            <w:r w:rsidRPr="005878E3">
              <w:rPr>
                <w:noProof/>
              </w:rPr>
              <w:t xml:space="preserve">Identificar sesgos de género y otros presentes en la universidad y la docencia, e integrar la perspectiva de género e interseccionalidad en la enseñanza. </w:t>
            </w:r>
          </w:p>
          <w:p w14:paraId="15805CDA" w14:textId="77777777" w:rsidR="00D651ED" w:rsidRPr="005878E3" w:rsidRDefault="00D651ED" w:rsidP="00D651ED">
            <w:pPr>
              <w:pStyle w:val="Prrafodelista"/>
              <w:numPr>
                <w:ilvl w:val="0"/>
                <w:numId w:val="9"/>
              </w:numPr>
              <w:rPr>
                <w:noProof/>
              </w:rPr>
            </w:pPr>
            <w:r w:rsidRPr="005878E3">
              <w:rPr>
                <w:noProof/>
              </w:rPr>
              <w:t>Aplicar herramientas prácticas para crear aulas seguras y adaptar estos enfoques a cualquier área de conocimiento.</w:t>
            </w:r>
          </w:p>
          <w:p w14:paraId="7876C69F" w14:textId="77777777" w:rsidR="00D651ED" w:rsidRDefault="00D651ED" w:rsidP="00D651ED">
            <w:pPr>
              <w:rPr>
                <w:noProof/>
              </w:rPr>
            </w:pPr>
          </w:p>
          <w:p w14:paraId="7FAEC123" w14:textId="77777777" w:rsidR="00D651ED" w:rsidRDefault="00D651ED" w:rsidP="00D651ED">
            <w:pPr>
              <w:rPr>
                <w:noProof/>
              </w:rPr>
            </w:pPr>
            <w:r>
              <w:rPr>
                <w:noProof/>
              </w:rPr>
              <w:t xml:space="preserve">1 ECTS 6,7,13,14 de mayo. Acceso vía </w:t>
            </w:r>
            <w:hyperlink r:id="rId23" w:history="1">
              <w:r w:rsidRPr="00897CB8">
                <w:rPr>
                  <w:rStyle w:val="Hipervnculo"/>
                  <w:noProof/>
                </w:rPr>
                <w:t>Plataforma de formación docente</w:t>
              </w:r>
            </w:hyperlink>
          </w:p>
          <w:p w14:paraId="7D3F8C5D" w14:textId="77777777" w:rsidR="00300C4A" w:rsidRDefault="00300C4A" w:rsidP="00D651ED">
            <w:pPr>
              <w:rPr>
                <w:noProof/>
              </w:rPr>
            </w:pPr>
          </w:p>
          <w:p w14:paraId="2832409C" w14:textId="0D3A68F8" w:rsidR="00300C4A" w:rsidRPr="00300C4A" w:rsidRDefault="00300C4A" w:rsidP="00D651ED">
            <w:pPr>
              <w:rPr>
                <w:b/>
                <w:bCs/>
                <w:noProof/>
              </w:rPr>
            </w:pPr>
            <w:r w:rsidRPr="00300C4A">
              <w:rPr>
                <w:b/>
                <w:bCs/>
                <w:noProof/>
              </w:rPr>
              <w:t>Accesibilidad digital y tecnologías accesibles para atender a la diversidad funcional en el aula</w:t>
            </w:r>
          </w:p>
          <w:p w14:paraId="0994F36D" w14:textId="77777777" w:rsidR="00654620" w:rsidRDefault="00654620" w:rsidP="00300C4A">
            <w:pPr>
              <w:rPr>
                <w:noProof/>
              </w:rPr>
            </w:pPr>
          </w:p>
          <w:p w14:paraId="05D954EB" w14:textId="77777777" w:rsidR="00F750BA" w:rsidRPr="00F750BA" w:rsidRDefault="00F750BA" w:rsidP="00F750BA">
            <w:pPr>
              <w:pStyle w:val="Prrafodelista"/>
              <w:numPr>
                <w:ilvl w:val="0"/>
                <w:numId w:val="12"/>
              </w:numPr>
              <w:rPr>
                <w:noProof/>
              </w:rPr>
            </w:pPr>
            <w:r w:rsidRPr="00F750BA">
              <w:rPr>
                <w:noProof/>
              </w:rPr>
              <w:t>Acercamiento a la diversidad funcional en la UAM. Mitos y realidades. Área de Atención a la Diversidad Funcional.</w:t>
            </w:r>
          </w:p>
          <w:p w14:paraId="7D9B770C" w14:textId="77777777" w:rsidR="00F750BA" w:rsidRPr="00F750BA" w:rsidRDefault="00F750BA" w:rsidP="00F750BA">
            <w:pPr>
              <w:pStyle w:val="Prrafodelista"/>
              <w:numPr>
                <w:ilvl w:val="0"/>
                <w:numId w:val="12"/>
              </w:numPr>
              <w:rPr>
                <w:noProof/>
              </w:rPr>
            </w:pPr>
            <w:r w:rsidRPr="00F750BA">
              <w:rPr>
                <w:noProof/>
              </w:rPr>
              <w:t>Recursos, tecnologías y plataformas educativas accesibles en la UAM.</w:t>
            </w:r>
          </w:p>
          <w:p w14:paraId="50330E58" w14:textId="77777777" w:rsidR="00F750BA" w:rsidRPr="00F750BA" w:rsidRDefault="00F750BA" w:rsidP="00F750BA">
            <w:pPr>
              <w:pStyle w:val="Prrafodelista"/>
              <w:numPr>
                <w:ilvl w:val="0"/>
                <w:numId w:val="12"/>
              </w:numPr>
              <w:rPr>
                <w:noProof/>
              </w:rPr>
            </w:pPr>
            <w:r w:rsidRPr="00F750BA">
              <w:rPr>
                <w:noProof/>
              </w:rPr>
              <w:t>Orientaciones prácticas y adaptaciones tecnológicas para el estudiantado con discapacidad visual en las aulas</w:t>
            </w:r>
          </w:p>
          <w:p w14:paraId="2F668AB5" w14:textId="20849B27" w:rsidR="00F750BA" w:rsidRPr="00300C4A" w:rsidRDefault="00300C4A" w:rsidP="00F750BA">
            <w:pPr>
              <w:rPr>
                <w:noProof/>
              </w:rPr>
            </w:pPr>
            <w:r w:rsidRPr="00300C4A">
              <w:rPr>
                <w:noProof/>
              </w:rPr>
              <w:t> </w:t>
            </w:r>
            <w:r w:rsidR="00F750BA">
              <w:rPr>
                <w:noProof/>
              </w:rPr>
              <w:t xml:space="preserve">1 ECTS 14, 16, 21 abril. Acceso vía </w:t>
            </w:r>
            <w:hyperlink r:id="rId24" w:history="1">
              <w:r w:rsidR="00F750BA" w:rsidRPr="002D5C06">
                <w:rPr>
                  <w:rStyle w:val="Hipervnculo"/>
                  <w:noProof/>
                </w:rPr>
                <w:t>Plataforma de formación docente</w:t>
              </w:r>
            </w:hyperlink>
          </w:p>
          <w:p w14:paraId="3B7DE01B" w14:textId="0BE41168" w:rsidR="00300C4A" w:rsidRDefault="00300C4A" w:rsidP="00300C4A">
            <w:pPr>
              <w:rPr>
                <w:noProof/>
              </w:rPr>
            </w:pPr>
          </w:p>
          <w:p w14:paraId="11F37A51" w14:textId="77777777" w:rsidR="002D5437" w:rsidRDefault="002D5437" w:rsidP="00D651ED"/>
        </w:tc>
      </w:tr>
      <w:tr w:rsidR="002D5437" w14:paraId="4D3E9116" w14:textId="77777777" w:rsidTr="002D5E41">
        <w:trPr>
          <w:gridAfter w:val="1"/>
          <w:wAfter w:w="62" w:type="dxa"/>
        </w:trPr>
        <w:tc>
          <w:tcPr>
            <w:tcW w:w="9072" w:type="dxa"/>
          </w:tcPr>
          <w:p w14:paraId="25FAA1D9" w14:textId="77777777" w:rsidR="002D5437" w:rsidRDefault="002D5437" w:rsidP="005F5FEA">
            <w:pPr>
              <w:rPr>
                <w:noProof/>
              </w:rPr>
            </w:pPr>
            <w:r w:rsidRPr="00C61B5F">
              <w:rPr>
                <w:b/>
                <w:bCs/>
                <w:noProof/>
              </w:rPr>
              <w:lastRenderedPageBreak/>
              <w:t>Programa de ejercicio físico gratuito</w:t>
            </w:r>
          </w:p>
          <w:p w14:paraId="1B1FBB28" w14:textId="77777777" w:rsidR="002D5437" w:rsidRDefault="002D5437" w:rsidP="005F5FEA">
            <w:pPr>
              <w:rPr>
                <w:noProof/>
              </w:rPr>
            </w:pPr>
            <w:r>
              <w:rPr>
                <w:noProof/>
              </w:rPr>
              <w:t xml:space="preserve">Orientado a personas de entre 18 y 25 años sedentarias y/o con problemas de sueño, impulsividad o desregulación emocional… </w:t>
            </w:r>
          </w:p>
          <w:p w14:paraId="2B5B9F49" w14:textId="77777777" w:rsidR="002D5437" w:rsidRDefault="002D5437" w:rsidP="005F5FEA">
            <w:pPr>
              <w:rPr>
                <w:noProof/>
              </w:rPr>
            </w:pPr>
          </w:p>
          <w:p w14:paraId="74FA7E5F" w14:textId="77777777" w:rsidR="002D5437" w:rsidRDefault="002D5437" w:rsidP="005F5FEA">
            <w:pPr>
              <w:rPr>
                <w:noProof/>
              </w:rPr>
            </w:pPr>
            <w:r w:rsidRPr="009000B6">
              <w:rPr>
                <w:b/>
                <w:bCs/>
                <w:noProof/>
              </w:rPr>
              <w:t>Fechas</w:t>
            </w:r>
            <w:r>
              <w:rPr>
                <w:noProof/>
              </w:rPr>
              <w:t xml:space="preserve">: </w:t>
            </w:r>
            <w:r w:rsidRPr="00772B2A">
              <w:rPr>
                <w:noProof/>
              </w:rPr>
              <w:t xml:space="preserve"> febrero a abril </w:t>
            </w:r>
          </w:p>
          <w:p w14:paraId="48CEEDF5" w14:textId="77777777" w:rsidR="002D5437" w:rsidRDefault="002D5437" w:rsidP="005F5FEA">
            <w:pPr>
              <w:rPr>
                <w:noProof/>
              </w:rPr>
            </w:pPr>
            <w:r>
              <w:rPr>
                <w:noProof/>
              </w:rPr>
              <w:t xml:space="preserve">3 sesiones semanales de 30 min. </w:t>
            </w:r>
          </w:p>
          <w:p w14:paraId="458BBC20" w14:textId="77777777" w:rsidR="002D5437" w:rsidRDefault="002D5437" w:rsidP="005F5FEA">
            <w:pPr>
              <w:rPr>
                <w:noProof/>
              </w:rPr>
            </w:pPr>
            <w:r w:rsidRPr="009000B6">
              <w:rPr>
                <w:b/>
                <w:bCs/>
                <w:noProof/>
              </w:rPr>
              <w:t>Lugar:</w:t>
            </w:r>
            <w:r>
              <w:rPr>
                <w:noProof/>
              </w:rPr>
              <w:t xml:space="preserve"> Campus Cantoblanco </w:t>
            </w:r>
            <w:r w:rsidRPr="0012152A">
              <w:rPr>
                <w:noProof/>
              </w:rPr>
              <w:t xml:space="preserve">C/ </w:t>
            </w:r>
            <w:r w:rsidRPr="0012152A">
              <w:rPr>
                <w:i/>
                <w:iCs/>
                <w:noProof/>
              </w:rPr>
              <w:t>Einstein</w:t>
            </w:r>
            <w:r w:rsidRPr="0012152A">
              <w:rPr>
                <w:noProof/>
              </w:rPr>
              <w:t xml:space="preserve">, </w:t>
            </w:r>
            <w:r w:rsidRPr="0012152A">
              <w:rPr>
                <w:i/>
                <w:iCs/>
                <w:noProof/>
              </w:rPr>
              <w:t>13</w:t>
            </w:r>
            <w:r w:rsidRPr="0012152A">
              <w:rPr>
                <w:noProof/>
              </w:rPr>
              <w:t>. Pabellón C</w:t>
            </w:r>
            <w:r>
              <w:rPr>
                <w:noProof/>
              </w:rPr>
              <w:t xml:space="preserve">. Sótano. </w:t>
            </w:r>
          </w:p>
          <w:p w14:paraId="1CBCF596" w14:textId="77777777" w:rsidR="002D5437" w:rsidRDefault="002D5437" w:rsidP="005F5FEA">
            <w:pPr>
              <w:rPr>
                <w:noProof/>
              </w:rPr>
            </w:pPr>
          </w:p>
          <w:p w14:paraId="1AAA9726" w14:textId="77777777" w:rsidR="002D5437" w:rsidRPr="00AB6A15" w:rsidRDefault="002D5437" w:rsidP="005F5FEA">
            <w:pPr>
              <w:rPr>
                <w:b/>
                <w:bCs/>
              </w:rPr>
            </w:pPr>
            <w:r>
              <w:rPr>
                <w:noProof/>
              </w:rPr>
              <w:t xml:space="preserve"> Contactar con: </w:t>
            </w:r>
            <w:hyperlink r:id="rId25" w:history="1">
              <w:r w:rsidRPr="00CB2E6A">
                <w:rPr>
                  <w:rStyle w:val="Hipervnculo"/>
                  <w:noProof/>
                </w:rPr>
                <w:t>patricia.sampedro@uam.es</w:t>
              </w:r>
            </w:hyperlink>
          </w:p>
          <w:p w14:paraId="4B9FD1C0" w14:textId="50FD2613" w:rsidR="002D5437" w:rsidRDefault="002D5437" w:rsidP="00384A11">
            <w:pPr>
              <w:rPr>
                <w:noProof/>
              </w:rPr>
            </w:pPr>
            <w:r>
              <w:rPr>
                <w:noProof/>
              </w:rPr>
              <w:t xml:space="preserve"> </w:t>
            </w:r>
          </w:p>
        </w:tc>
      </w:tr>
      <w:tr w:rsidR="00F334E7" w14:paraId="5592C600" w14:textId="77777777" w:rsidTr="002D5E41">
        <w:trPr>
          <w:gridAfter w:val="1"/>
          <w:wAfter w:w="62" w:type="dxa"/>
        </w:trPr>
        <w:tc>
          <w:tcPr>
            <w:tcW w:w="9072" w:type="dxa"/>
          </w:tcPr>
          <w:p w14:paraId="05317644" w14:textId="5FA77A62" w:rsidR="00F334E7" w:rsidRPr="00F334E7" w:rsidRDefault="00F334E7" w:rsidP="0089229F">
            <w:pPr>
              <w:jc w:val="center"/>
              <w:rPr>
                <w:rFonts w:eastAsia="Times New Roman"/>
                <w:b/>
                <w:bCs/>
                <w:noProof/>
              </w:rPr>
            </w:pPr>
            <w:r w:rsidRPr="00F334E7">
              <w:rPr>
                <w:rFonts w:eastAsia="Times New Roman"/>
                <w:b/>
                <w:bCs/>
                <w:noProof/>
              </w:rPr>
              <w:t>BECAS</w:t>
            </w:r>
            <w:r w:rsidR="00D651ED">
              <w:rPr>
                <w:rFonts w:eastAsia="Times New Roman"/>
                <w:b/>
                <w:bCs/>
                <w:noProof/>
              </w:rPr>
              <w:t>,</w:t>
            </w:r>
            <w:r w:rsidRPr="00F334E7">
              <w:rPr>
                <w:rFonts w:eastAsia="Times New Roman"/>
                <w:b/>
                <w:bCs/>
                <w:noProof/>
              </w:rPr>
              <w:t xml:space="preserve"> AYUDAS</w:t>
            </w:r>
            <w:r w:rsidR="00D651ED">
              <w:rPr>
                <w:rFonts w:eastAsia="Times New Roman"/>
                <w:b/>
                <w:bCs/>
                <w:noProof/>
              </w:rPr>
              <w:t xml:space="preserve"> Y PREMIOS</w:t>
            </w:r>
          </w:p>
        </w:tc>
      </w:tr>
      <w:tr w:rsidR="002D5437" w14:paraId="360E17F5" w14:textId="77777777" w:rsidTr="002D5E41">
        <w:trPr>
          <w:gridAfter w:val="1"/>
          <w:wAfter w:w="62" w:type="dxa"/>
        </w:trPr>
        <w:tc>
          <w:tcPr>
            <w:tcW w:w="9072" w:type="dxa"/>
          </w:tcPr>
          <w:p w14:paraId="7EAFE2FB" w14:textId="77777777" w:rsidR="002D5437" w:rsidRDefault="002D5437" w:rsidP="00EB4E1B">
            <w:pPr>
              <w:rPr>
                <w:b/>
                <w:bCs/>
              </w:rPr>
            </w:pPr>
            <w:r>
              <w:rPr>
                <w:b/>
                <w:bCs/>
              </w:rPr>
              <w:t xml:space="preserve">Convocatoria de BECAS </w:t>
            </w:r>
          </w:p>
          <w:p w14:paraId="3CA3B178" w14:textId="77777777" w:rsidR="002D5437" w:rsidRDefault="002D5437" w:rsidP="00EB4E1B">
            <w:pPr>
              <w:rPr>
                <w:b/>
                <w:bCs/>
              </w:rPr>
            </w:pPr>
            <w:r w:rsidRPr="001849FD">
              <w:rPr>
                <w:b/>
                <w:bCs/>
              </w:rPr>
              <w:t>Indra Group - Fundación Universia</w:t>
            </w:r>
            <w:r>
              <w:rPr>
                <w:b/>
                <w:bCs/>
              </w:rPr>
              <w:t xml:space="preserve"> </w:t>
            </w:r>
          </w:p>
          <w:p w14:paraId="6EDC0CDA" w14:textId="77777777" w:rsidR="002D5437" w:rsidRDefault="002D5437" w:rsidP="00EB4E1B">
            <w:pPr>
              <w:rPr>
                <w:b/>
                <w:bCs/>
              </w:rPr>
            </w:pPr>
          </w:p>
          <w:p w14:paraId="0AE5F33F" w14:textId="77777777" w:rsidR="002D5437" w:rsidRDefault="002D5437" w:rsidP="00EB4E1B">
            <w:pPr>
              <w:rPr>
                <w:rFonts w:eastAsia="Times New Roman"/>
                <w:noProof/>
              </w:rPr>
            </w:pPr>
            <w:r w:rsidRPr="00C27F28">
              <w:rPr>
                <w:rFonts w:eastAsia="Times New Roman"/>
                <w:noProof/>
              </w:rPr>
              <w:t>Fundación Universia convoca 15 becas de 2.000 euros cada una, en esta edición de las Becas Indra Group - Fundación Universia de ayudas al estudio para estudiantes de FP y/o universitarios con discapacidad en formaciones STEM (ciencias, ingeniería,</w:t>
            </w:r>
            <w:r>
              <w:rPr>
                <w:rFonts w:eastAsia="Times New Roman"/>
                <w:noProof/>
              </w:rPr>
              <w:t xml:space="preserve"> </w:t>
            </w:r>
            <w:r w:rsidRPr="00C27F28">
              <w:rPr>
                <w:rFonts w:eastAsia="Times New Roman"/>
                <w:noProof/>
              </w:rPr>
              <w:t>matemáticas, tecnología y similiares)</w:t>
            </w:r>
          </w:p>
          <w:p w14:paraId="32B168AB" w14:textId="77777777" w:rsidR="002D5437" w:rsidRDefault="002D5437" w:rsidP="00EB4E1B">
            <w:pPr>
              <w:rPr>
                <w:rFonts w:eastAsia="Times New Roman"/>
                <w:noProof/>
              </w:rPr>
            </w:pPr>
            <w:hyperlink r:id="rId26" w:history="1">
              <w:r w:rsidRPr="00777509">
                <w:rPr>
                  <w:rStyle w:val="Hipervnculo"/>
                  <w:rFonts w:eastAsia="Times New Roman"/>
                  <w:noProof/>
                </w:rPr>
                <w:t>Más información</w:t>
              </w:r>
            </w:hyperlink>
            <w:r>
              <w:rPr>
                <w:rFonts w:eastAsia="Times New Roman"/>
                <w:noProof/>
              </w:rPr>
              <w:t xml:space="preserve"> </w:t>
            </w:r>
          </w:p>
          <w:p w14:paraId="5B09251D" w14:textId="77777777" w:rsidR="002D5437" w:rsidRPr="00C27F28" w:rsidRDefault="002D5437" w:rsidP="00EB4E1B">
            <w:pPr>
              <w:rPr>
                <w:rFonts w:eastAsia="Times New Roman"/>
                <w:noProof/>
              </w:rPr>
            </w:pPr>
          </w:p>
          <w:p w14:paraId="18D81E46" w14:textId="0BEED160" w:rsidR="002D5437" w:rsidRDefault="002D5437" w:rsidP="00384A11">
            <w:pPr>
              <w:rPr>
                <w:rFonts w:eastAsia="Times New Roman"/>
                <w:noProof/>
              </w:rPr>
            </w:pPr>
          </w:p>
        </w:tc>
      </w:tr>
      <w:tr w:rsidR="002D5437" w:rsidRPr="0018513F" w14:paraId="6CEC1548" w14:textId="77777777" w:rsidTr="002D5E41">
        <w:trPr>
          <w:gridAfter w:val="1"/>
          <w:wAfter w:w="62" w:type="dxa"/>
          <w:trHeight w:val="2061"/>
        </w:trPr>
        <w:tc>
          <w:tcPr>
            <w:tcW w:w="9072" w:type="dxa"/>
            <w:tcBorders>
              <w:bottom w:val="single" w:sz="4" w:space="0" w:color="auto"/>
            </w:tcBorders>
          </w:tcPr>
          <w:p w14:paraId="3463F452" w14:textId="4DE882FE" w:rsidR="002D5437" w:rsidRPr="00742C38" w:rsidRDefault="002D5437" w:rsidP="00742C38">
            <w:pPr>
              <w:rPr>
                <w:rFonts w:eastAsia="Times New Roman"/>
                <w:b/>
                <w:bCs/>
                <w:noProof/>
              </w:rPr>
            </w:pPr>
            <w:r w:rsidRPr="00742C38">
              <w:rPr>
                <w:rFonts w:eastAsia="Times New Roman"/>
                <w:b/>
                <w:bCs/>
                <w:noProof/>
              </w:rPr>
              <w:t>R</w:t>
            </w:r>
            <w:r>
              <w:rPr>
                <w:rFonts w:eastAsia="Times New Roman"/>
                <w:b/>
                <w:bCs/>
                <w:noProof/>
              </w:rPr>
              <w:t>esolución provisional</w:t>
            </w:r>
            <w:r w:rsidRPr="00742C38">
              <w:rPr>
                <w:rFonts w:eastAsia="Times New Roman"/>
                <w:b/>
                <w:bCs/>
                <w:noProof/>
              </w:rPr>
              <w:t xml:space="preserve"> de concesión de becas de la Fundación ONCE-CRUE</w:t>
            </w:r>
          </w:p>
          <w:p w14:paraId="4DF3A504" w14:textId="78372892" w:rsidR="002D5437" w:rsidRPr="009837A2" w:rsidRDefault="002D5437" w:rsidP="00384A11">
            <w:pPr>
              <w:rPr>
                <w:rFonts w:eastAsia="Times New Roman"/>
                <w:b/>
                <w:bCs/>
                <w:noProof/>
              </w:rPr>
            </w:pPr>
          </w:p>
          <w:p w14:paraId="7FB75E65" w14:textId="361F97EB" w:rsidR="002D5437" w:rsidRPr="000F1564" w:rsidRDefault="002D5437" w:rsidP="0018513F">
            <w:pPr>
              <w:rPr>
                <w:rFonts w:eastAsia="Times New Roman"/>
                <w:noProof/>
              </w:rPr>
            </w:pPr>
            <w:r w:rsidRPr="0018513F">
              <w:rPr>
                <w:rFonts w:eastAsia="Times New Roman"/>
                <w:noProof/>
              </w:rPr>
              <w:t>Con fecha 9 de enero de 2026 se public</w:t>
            </w:r>
            <w:r w:rsidRPr="000F1564">
              <w:rPr>
                <w:rFonts w:eastAsia="Times New Roman"/>
                <w:noProof/>
              </w:rPr>
              <w:t>ó</w:t>
            </w:r>
            <w:r w:rsidRPr="0018513F">
              <w:rPr>
                <w:rFonts w:eastAsia="Times New Roman"/>
                <w:noProof/>
              </w:rPr>
              <w:t xml:space="preserve"> la RESOLUCIÓN PROVISIONAL de concesión de </w:t>
            </w:r>
            <w:r w:rsidRPr="000F1564">
              <w:rPr>
                <w:rFonts w:eastAsia="Times New Roman"/>
                <w:noProof/>
              </w:rPr>
              <w:t xml:space="preserve">6 </w:t>
            </w:r>
            <w:r w:rsidRPr="0018513F">
              <w:rPr>
                <w:rFonts w:eastAsia="Times New Roman"/>
                <w:noProof/>
              </w:rPr>
              <w:t>becas de la Fundación ONCE-CRUE</w:t>
            </w:r>
            <w:r w:rsidRPr="000F1564">
              <w:rPr>
                <w:rFonts w:eastAsia="Times New Roman"/>
                <w:noProof/>
              </w:rPr>
              <w:t>.</w:t>
            </w:r>
          </w:p>
          <w:p w14:paraId="552414C0" w14:textId="77777777" w:rsidR="002D5437" w:rsidRDefault="002D5437" w:rsidP="00384A11">
            <w:hyperlink r:id="rId27" w:history="1">
              <w:r w:rsidRPr="000F1564">
                <w:rPr>
                  <w:rStyle w:val="Hipervnculo"/>
                  <w:rFonts w:eastAsia="Times New Roman"/>
                  <w:b/>
                  <w:bCs/>
                  <w:noProof/>
                </w:rPr>
                <w:t>Más información</w:t>
              </w:r>
            </w:hyperlink>
          </w:p>
          <w:p w14:paraId="00AFA225" w14:textId="23C1819A" w:rsidR="00D651ED" w:rsidRPr="000F1564" w:rsidRDefault="00D651ED" w:rsidP="00384A11">
            <w:pPr>
              <w:rPr>
                <w:rFonts w:eastAsia="Times New Roman"/>
                <w:b/>
                <w:bCs/>
                <w:noProof/>
              </w:rPr>
            </w:pPr>
          </w:p>
        </w:tc>
      </w:tr>
      <w:tr w:rsidR="000F4ABE" w:rsidRPr="0018513F" w14:paraId="42E4938C" w14:textId="77777777" w:rsidTr="002D5E41">
        <w:trPr>
          <w:gridAfter w:val="1"/>
          <w:wAfter w:w="62" w:type="dxa"/>
        </w:trPr>
        <w:tc>
          <w:tcPr>
            <w:tcW w:w="9072" w:type="dxa"/>
          </w:tcPr>
          <w:p w14:paraId="08953D45" w14:textId="630FC160" w:rsidR="000F4ABE" w:rsidRPr="00F04CD1" w:rsidRDefault="000F4ABE" w:rsidP="00F74F5A">
            <w:pPr>
              <w:rPr>
                <w:b/>
                <w:bCs/>
                <w:noProof/>
              </w:rPr>
            </w:pPr>
            <w:r w:rsidRPr="005C4574">
              <w:rPr>
                <w:b/>
                <w:bCs/>
                <w:noProof/>
              </w:rPr>
              <w:t xml:space="preserve">XIX Edición </w:t>
            </w:r>
            <w:r>
              <w:rPr>
                <w:b/>
                <w:bCs/>
                <w:noProof/>
              </w:rPr>
              <w:t>Premios Fundaciñón Lafourcade de Tesis Doctoral</w:t>
            </w:r>
          </w:p>
          <w:p w14:paraId="38707273" w14:textId="77777777" w:rsidR="000F4ABE" w:rsidRPr="000546AC" w:rsidRDefault="000F4ABE" w:rsidP="000546AC">
            <w:pPr>
              <w:rPr>
                <w:rFonts w:eastAsia="Times New Roman"/>
                <w:b/>
                <w:bCs/>
                <w:noProof/>
              </w:rPr>
            </w:pPr>
          </w:p>
          <w:p w14:paraId="7E581339" w14:textId="77777777" w:rsidR="000F4ABE" w:rsidRPr="00F04CD1" w:rsidRDefault="000F4ABE" w:rsidP="00F04CD1">
            <w:pPr>
              <w:pStyle w:val="Prrafodelista"/>
              <w:numPr>
                <w:ilvl w:val="0"/>
                <w:numId w:val="10"/>
              </w:numPr>
              <w:rPr>
                <w:rFonts w:eastAsia="Times New Roman"/>
                <w:noProof/>
              </w:rPr>
            </w:pPr>
            <w:r w:rsidRPr="00F04CD1">
              <w:rPr>
                <w:rFonts w:eastAsia="Times New Roman"/>
                <w:noProof/>
              </w:rPr>
              <w:t xml:space="preserve">Difundir el valor de la realización de tesis doctorales dentro del ámbito de la psicología y el bienestar psicológico. </w:t>
            </w:r>
          </w:p>
          <w:p w14:paraId="568CE191" w14:textId="35C915DA" w:rsidR="000F4ABE" w:rsidRDefault="000F4ABE" w:rsidP="00F04CD1">
            <w:pPr>
              <w:pStyle w:val="Prrafodelista"/>
              <w:numPr>
                <w:ilvl w:val="0"/>
                <w:numId w:val="10"/>
              </w:numPr>
              <w:rPr>
                <w:rFonts w:eastAsia="Times New Roman"/>
                <w:noProof/>
              </w:rPr>
            </w:pPr>
            <w:r w:rsidRPr="00F04CD1">
              <w:rPr>
                <w:rFonts w:eastAsia="Times New Roman"/>
                <w:noProof/>
              </w:rPr>
              <w:t>Los premios se otorgarán a tesis ya defendidas y que hayan obtenido premio extraordinario de doctorado dentro de su programa.</w:t>
            </w:r>
          </w:p>
          <w:p w14:paraId="304A11E7" w14:textId="693365FB" w:rsidR="000F4ABE" w:rsidRPr="00F04CD1" w:rsidRDefault="000F4ABE" w:rsidP="00B51C75">
            <w:pPr>
              <w:pStyle w:val="Prrafodelista"/>
              <w:numPr>
                <w:ilvl w:val="0"/>
                <w:numId w:val="10"/>
              </w:numPr>
              <w:rPr>
                <w:rFonts w:eastAsia="Times New Roman"/>
                <w:noProof/>
              </w:rPr>
            </w:pPr>
            <w:r>
              <w:rPr>
                <w:rFonts w:eastAsia="Times New Roman"/>
                <w:noProof/>
              </w:rPr>
              <w:t xml:space="preserve">Contacnto: </w:t>
            </w:r>
            <w:r w:rsidRPr="00B51C75">
              <w:rPr>
                <w:rFonts w:eastAsia="Times New Roman"/>
                <w:noProof/>
              </w:rPr>
              <w:t xml:space="preserve"> lafourcade@cop.es</w:t>
            </w:r>
          </w:p>
          <w:p w14:paraId="16BF45C7" w14:textId="4CE381F0" w:rsidR="000F4ABE" w:rsidRPr="00F74F5A" w:rsidRDefault="000F4ABE" w:rsidP="000546AC">
            <w:pPr>
              <w:rPr>
                <w:rFonts w:eastAsia="Times New Roman"/>
                <w:b/>
                <w:bCs/>
                <w:noProof/>
              </w:rPr>
            </w:pPr>
          </w:p>
        </w:tc>
      </w:tr>
      <w:tr w:rsidR="002D5437" w:rsidRPr="0018513F" w14:paraId="37E3EDAD" w14:textId="77777777" w:rsidTr="002D5E41">
        <w:trPr>
          <w:gridAfter w:val="1"/>
          <w:wAfter w:w="62" w:type="dxa"/>
        </w:trPr>
        <w:tc>
          <w:tcPr>
            <w:tcW w:w="9072" w:type="dxa"/>
          </w:tcPr>
          <w:p w14:paraId="4CF373A8" w14:textId="77777777" w:rsidR="002D5437" w:rsidRDefault="002D5437" w:rsidP="00270574">
            <w:pPr>
              <w:jc w:val="center"/>
              <w:rPr>
                <w:b/>
                <w:bCs/>
                <w:noProof/>
              </w:rPr>
            </w:pPr>
            <w:r>
              <w:rPr>
                <w:b/>
                <w:bCs/>
                <w:noProof/>
              </w:rPr>
              <w:t>Contacto</w:t>
            </w:r>
          </w:p>
          <w:p w14:paraId="32A8C568" w14:textId="77777777" w:rsidR="002D5437" w:rsidRPr="00270574" w:rsidRDefault="002D5437" w:rsidP="00270574">
            <w:pPr>
              <w:jc w:val="center"/>
              <w:rPr>
                <w:b/>
                <w:bCs/>
                <w:noProof/>
              </w:rPr>
            </w:pPr>
            <w:r w:rsidRPr="00270574">
              <w:rPr>
                <w:b/>
                <w:bCs/>
                <w:noProof/>
              </w:rPr>
              <w:t>Unidad de Equidad Social</w:t>
            </w:r>
          </w:p>
          <w:p w14:paraId="0FA9E44D" w14:textId="77777777" w:rsidR="002D5437" w:rsidRPr="00270574" w:rsidRDefault="002D5437" w:rsidP="00270574">
            <w:pPr>
              <w:jc w:val="center"/>
              <w:rPr>
                <w:b/>
                <w:bCs/>
                <w:noProof/>
              </w:rPr>
            </w:pPr>
            <w:r w:rsidRPr="00270574">
              <w:rPr>
                <w:b/>
                <w:bCs/>
                <w:noProof/>
              </w:rPr>
              <w:t>Vicerrectorado de Compromiso Social y Cultura</w:t>
            </w:r>
          </w:p>
          <w:p w14:paraId="03A81653" w14:textId="77777777" w:rsidR="002D5437" w:rsidRPr="00270574" w:rsidRDefault="002D5437" w:rsidP="00270574">
            <w:pPr>
              <w:jc w:val="center"/>
              <w:rPr>
                <w:b/>
                <w:bCs/>
                <w:noProof/>
              </w:rPr>
            </w:pPr>
            <w:r w:rsidRPr="00270574">
              <w:rPr>
                <w:b/>
                <w:bCs/>
                <w:noProof/>
              </w:rPr>
              <w:t>Universidad Autónoma de Madrid • Campus de Cantoblanco</w:t>
            </w:r>
          </w:p>
          <w:p w14:paraId="626D120B" w14:textId="77777777" w:rsidR="002D5437" w:rsidRPr="00270574" w:rsidRDefault="002D5437" w:rsidP="00270574">
            <w:pPr>
              <w:jc w:val="center"/>
              <w:rPr>
                <w:b/>
                <w:bCs/>
                <w:noProof/>
              </w:rPr>
            </w:pPr>
            <w:r w:rsidRPr="00270574">
              <w:rPr>
                <w:b/>
                <w:bCs/>
                <w:noProof/>
              </w:rPr>
              <w:t>c/ Einstein, n° 3, 3ª entreplanta - 28049, Madrid</w:t>
            </w:r>
          </w:p>
          <w:p w14:paraId="0D5A0A10" w14:textId="77777777" w:rsidR="002D5437" w:rsidRPr="00270574" w:rsidRDefault="002D5437" w:rsidP="00270574">
            <w:pPr>
              <w:jc w:val="center"/>
              <w:rPr>
                <w:b/>
                <w:bCs/>
                <w:noProof/>
                <w:lang w:val="en-US"/>
              </w:rPr>
            </w:pPr>
            <w:r w:rsidRPr="00270574">
              <w:rPr>
                <w:b/>
                <w:bCs/>
                <w:noProof/>
                <w:lang w:val="en-US"/>
              </w:rPr>
              <w:t>tel. 914976471 _ ext 6471</w:t>
            </w:r>
          </w:p>
          <w:p w14:paraId="5240C806" w14:textId="77777777" w:rsidR="002D5437" w:rsidRPr="00270574" w:rsidRDefault="002D5437" w:rsidP="00270574">
            <w:pPr>
              <w:jc w:val="center"/>
              <w:rPr>
                <w:b/>
                <w:bCs/>
                <w:noProof/>
                <w:lang w:val="en-US"/>
              </w:rPr>
            </w:pPr>
            <w:r w:rsidRPr="00270574">
              <w:rPr>
                <w:b/>
                <w:bCs/>
                <w:noProof/>
                <w:lang w:val="en-US"/>
              </w:rPr>
              <w:t>unidad.equidad@uam.es</w:t>
            </w:r>
          </w:p>
          <w:p w14:paraId="1A468192" w14:textId="77777777" w:rsidR="002D5437" w:rsidRPr="00270574" w:rsidRDefault="002D5437" w:rsidP="00270574">
            <w:pPr>
              <w:jc w:val="center"/>
              <w:rPr>
                <w:b/>
                <w:bCs/>
                <w:noProof/>
                <w:lang w:val="en-US"/>
              </w:rPr>
            </w:pPr>
            <w:hyperlink r:id="rId28" w:tgtFrame="_blank" w:history="1">
              <w:r w:rsidRPr="00270574">
                <w:rPr>
                  <w:rStyle w:val="Hipervnculo"/>
                  <w:b/>
                  <w:bCs/>
                  <w:noProof/>
                  <w:lang w:val="en-US"/>
                </w:rPr>
                <w:t>LinkedIn</w:t>
              </w:r>
            </w:hyperlink>
            <w:r w:rsidRPr="00270574">
              <w:rPr>
                <w:b/>
                <w:bCs/>
                <w:noProof/>
                <w:lang w:val="en-US"/>
              </w:rPr>
              <w:t xml:space="preserve"> | </w:t>
            </w:r>
            <w:hyperlink r:id="rId29" w:tgtFrame="_blank" w:history="1">
              <w:r w:rsidRPr="00270574">
                <w:rPr>
                  <w:rStyle w:val="Hipervnculo"/>
                  <w:b/>
                  <w:bCs/>
                  <w:noProof/>
                  <w:lang w:val="en-US"/>
                </w:rPr>
                <w:t>Twitter</w:t>
              </w:r>
            </w:hyperlink>
            <w:r w:rsidRPr="00270574">
              <w:rPr>
                <w:b/>
                <w:bCs/>
                <w:noProof/>
                <w:lang w:val="en-US"/>
              </w:rPr>
              <w:t xml:space="preserve"> | </w:t>
            </w:r>
            <w:hyperlink r:id="rId30" w:tgtFrame="_blank" w:history="1">
              <w:r w:rsidRPr="00270574">
                <w:rPr>
                  <w:rStyle w:val="Hipervnculo"/>
                  <w:b/>
                  <w:bCs/>
                  <w:noProof/>
                  <w:lang w:val="en-US"/>
                </w:rPr>
                <w:t>Facebook</w:t>
              </w:r>
            </w:hyperlink>
            <w:r w:rsidRPr="00270574">
              <w:rPr>
                <w:b/>
                <w:bCs/>
                <w:noProof/>
                <w:lang w:val="en-US"/>
              </w:rPr>
              <w:t xml:space="preserve"> | </w:t>
            </w:r>
            <w:hyperlink r:id="rId31" w:tgtFrame="_blank" w:history="1">
              <w:r w:rsidRPr="00270574">
                <w:rPr>
                  <w:rStyle w:val="Hipervnculo"/>
                  <w:b/>
                  <w:bCs/>
                  <w:noProof/>
                  <w:lang w:val="en-US"/>
                </w:rPr>
                <w:t>Youtube</w:t>
              </w:r>
            </w:hyperlink>
          </w:p>
          <w:p w14:paraId="1DE58D64" w14:textId="77777777" w:rsidR="002D5437" w:rsidRPr="00270574" w:rsidRDefault="002D5437" w:rsidP="00270574">
            <w:pPr>
              <w:jc w:val="center"/>
              <w:rPr>
                <w:b/>
                <w:bCs/>
                <w:noProof/>
              </w:rPr>
            </w:pPr>
            <w:r w:rsidRPr="00270574">
              <w:rPr>
                <w:b/>
                <w:bCs/>
                <w:noProof/>
              </w:rPr>
              <w:t xml:space="preserve">¿Eres de la Autónoma? </w:t>
            </w:r>
            <w:hyperlink r:id="rId32" w:tgtFrame="_blank" w:history="1">
              <w:r w:rsidRPr="00270574">
                <w:rPr>
                  <w:rStyle w:val="Hipervnculo"/>
                  <w:b/>
                  <w:bCs/>
                  <w:noProof/>
                </w:rPr>
                <w:t>Hazte AlumniUAM</w:t>
              </w:r>
            </w:hyperlink>
          </w:p>
          <w:p w14:paraId="07969BCE" w14:textId="77777777" w:rsidR="002D5437" w:rsidRPr="005C4574" w:rsidRDefault="002D5437" w:rsidP="00F74F5A">
            <w:pPr>
              <w:rPr>
                <w:b/>
                <w:bCs/>
                <w:noProof/>
              </w:rPr>
            </w:pPr>
          </w:p>
        </w:tc>
      </w:tr>
    </w:tbl>
    <w:p w14:paraId="732B028B" w14:textId="1715407B" w:rsidR="001E40BE" w:rsidRPr="001E40BE" w:rsidRDefault="001E40BE" w:rsidP="001E40BE"/>
    <w:sectPr w:rsidR="001E40BE" w:rsidRPr="001E40B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52CD7" w14:textId="77777777" w:rsidR="00006CE8" w:rsidRDefault="00006CE8" w:rsidP="00C675B8">
      <w:pPr>
        <w:spacing w:after="0" w:line="240" w:lineRule="auto"/>
      </w:pPr>
      <w:r>
        <w:separator/>
      </w:r>
    </w:p>
  </w:endnote>
  <w:endnote w:type="continuationSeparator" w:id="0">
    <w:p w14:paraId="32562E12" w14:textId="77777777" w:rsidR="00006CE8" w:rsidRDefault="00006CE8" w:rsidP="00C6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D3DB0" w14:textId="77777777" w:rsidR="00006CE8" w:rsidRDefault="00006CE8" w:rsidP="00C675B8">
      <w:pPr>
        <w:spacing w:after="0" w:line="240" w:lineRule="auto"/>
      </w:pPr>
      <w:r>
        <w:separator/>
      </w:r>
    </w:p>
  </w:footnote>
  <w:footnote w:type="continuationSeparator" w:id="0">
    <w:p w14:paraId="0FAF36BA" w14:textId="77777777" w:rsidR="00006CE8" w:rsidRDefault="00006CE8" w:rsidP="00C67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AD1"/>
    <w:multiLevelType w:val="hybridMultilevel"/>
    <w:tmpl w:val="B4D87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CE486A"/>
    <w:multiLevelType w:val="hybridMultilevel"/>
    <w:tmpl w:val="7A8021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8D0910"/>
    <w:multiLevelType w:val="hybridMultilevel"/>
    <w:tmpl w:val="E1901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7B2B09"/>
    <w:multiLevelType w:val="multilevel"/>
    <w:tmpl w:val="85A0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2C1A18"/>
    <w:multiLevelType w:val="hybridMultilevel"/>
    <w:tmpl w:val="5A0CD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F6231A"/>
    <w:multiLevelType w:val="hybridMultilevel"/>
    <w:tmpl w:val="C8FABD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CA5FA4"/>
    <w:multiLevelType w:val="hybridMultilevel"/>
    <w:tmpl w:val="E9421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65249B"/>
    <w:multiLevelType w:val="multilevel"/>
    <w:tmpl w:val="F7948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F91FDF"/>
    <w:multiLevelType w:val="hybridMultilevel"/>
    <w:tmpl w:val="B7885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3E7950"/>
    <w:multiLevelType w:val="hybridMultilevel"/>
    <w:tmpl w:val="7B1E9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C050A3"/>
    <w:multiLevelType w:val="hybridMultilevel"/>
    <w:tmpl w:val="9D262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1D69FE"/>
    <w:multiLevelType w:val="hybridMultilevel"/>
    <w:tmpl w:val="9FF88BEE"/>
    <w:lvl w:ilvl="0" w:tplc="6534F982">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6A9103A"/>
    <w:multiLevelType w:val="hybridMultilevel"/>
    <w:tmpl w:val="55CCF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6770572">
    <w:abstractNumId w:val="11"/>
  </w:num>
  <w:num w:numId="2" w16cid:durableId="1221164575">
    <w:abstractNumId w:val="3"/>
  </w:num>
  <w:num w:numId="3" w16cid:durableId="105778721">
    <w:abstractNumId w:val="1"/>
  </w:num>
  <w:num w:numId="4" w16cid:durableId="494883862">
    <w:abstractNumId w:val="0"/>
  </w:num>
  <w:num w:numId="5" w16cid:durableId="176163640">
    <w:abstractNumId w:val="2"/>
  </w:num>
  <w:num w:numId="6" w16cid:durableId="1097022538">
    <w:abstractNumId w:val="5"/>
  </w:num>
  <w:num w:numId="7" w16cid:durableId="72557861">
    <w:abstractNumId w:val="8"/>
  </w:num>
  <w:num w:numId="8" w16cid:durableId="6030085">
    <w:abstractNumId w:val="7"/>
  </w:num>
  <w:num w:numId="9" w16cid:durableId="795636458">
    <w:abstractNumId w:val="9"/>
  </w:num>
  <w:num w:numId="10" w16cid:durableId="1024132230">
    <w:abstractNumId w:val="6"/>
  </w:num>
  <w:num w:numId="11" w16cid:durableId="1065879857">
    <w:abstractNumId w:val="10"/>
  </w:num>
  <w:num w:numId="12" w16cid:durableId="1671714645">
    <w:abstractNumId w:val="4"/>
  </w:num>
  <w:num w:numId="13" w16cid:durableId="90317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81"/>
    <w:rsid w:val="000033A9"/>
    <w:rsid w:val="00006CE8"/>
    <w:rsid w:val="0001779A"/>
    <w:rsid w:val="00022F90"/>
    <w:rsid w:val="00030204"/>
    <w:rsid w:val="00033D35"/>
    <w:rsid w:val="000358A2"/>
    <w:rsid w:val="0003623D"/>
    <w:rsid w:val="000434E9"/>
    <w:rsid w:val="00051DDC"/>
    <w:rsid w:val="000546AC"/>
    <w:rsid w:val="00054E81"/>
    <w:rsid w:val="00060293"/>
    <w:rsid w:val="00060333"/>
    <w:rsid w:val="00060359"/>
    <w:rsid w:val="000953C9"/>
    <w:rsid w:val="000A54EA"/>
    <w:rsid w:val="000B1909"/>
    <w:rsid w:val="000B4233"/>
    <w:rsid w:val="000C5539"/>
    <w:rsid w:val="000C7181"/>
    <w:rsid w:val="000D630E"/>
    <w:rsid w:val="000E1DD0"/>
    <w:rsid w:val="000F1116"/>
    <w:rsid w:val="000F1564"/>
    <w:rsid w:val="000F47C5"/>
    <w:rsid w:val="000F4ABE"/>
    <w:rsid w:val="000F4E7A"/>
    <w:rsid w:val="00103281"/>
    <w:rsid w:val="00110A6B"/>
    <w:rsid w:val="0011157C"/>
    <w:rsid w:val="001175B9"/>
    <w:rsid w:val="0012152A"/>
    <w:rsid w:val="0012482C"/>
    <w:rsid w:val="00126364"/>
    <w:rsid w:val="0012640B"/>
    <w:rsid w:val="00131803"/>
    <w:rsid w:val="001501E5"/>
    <w:rsid w:val="00150DA6"/>
    <w:rsid w:val="001532FB"/>
    <w:rsid w:val="00157898"/>
    <w:rsid w:val="001624DB"/>
    <w:rsid w:val="00166DDB"/>
    <w:rsid w:val="00171F89"/>
    <w:rsid w:val="00172ED4"/>
    <w:rsid w:val="001849FD"/>
    <w:rsid w:val="0018513F"/>
    <w:rsid w:val="00186D4C"/>
    <w:rsid w:val="00193ED9"/>
    <w:rsid w:val="001E40BE"/>
    <w:rsid w:val="001F11FF"/>
    <w:rsid w:val="00203871"/>
    <w:rsid w:val="00216E50"/>
    <w:rsid w:val="00222063"/>
    <w:rsid w:val="0022441A"/>
    <w:rsid w:val="00231918"/>
    <w:rsid w:val="0023359D"/>
    <w:rsid w:val="00246539"/>
    <w:rsid w:val="00262E6D"/>
    <w:rsid w:val="00270574"/>
    <w:rsid w:val="0028342E"/>
    <w:rsid w:val="002958A3"/>
    <w:rsid w:val="002A18DA"/>
    <w:rsid w:val="002A6939"/>
    <w:rsid w:val="002A78E5"/>
    <w:rsid w:val="002A7DEB"/>
    <w:rsid w:val="002B56A2"/>
    <w:rsid w:val="002C4C79"/>
    <w:rsid w:val="002C67C9"/>
    <w:rsid w:val="002D1E70"/>
    <w:rsid w:val="002D5437"/>
    <w:rsid w:val="002D5C06"/>
    <w:rsid w:val="002D5E41"/>
    <w:rsid w:val="002E6F02"/>
    <w:rsid w:val="002F4B88"/>
    <w:rsid w:val="002F6683"/>
    <w:rsid w:val="00300C4A"/>
    <w:rsid w:val="00301AD6"/>
    <w:rsid w:val="00304AC9"/>
    <w:rsid w:val="0031279C"/>
    <w:rsid w:val="00313ED2"/>
    <w:rsid w:val="00322CE7"/>
    <w:rsid w:val="00323F87"/>
    <w:rsid w:val="00331A5B"/>
    <w:rsid w:val="003331E7"/>
    <w:rsid w:val="00337393"/>
    <w:rsid w:val="00344FAD"/>
    <w:rsid w:val="00351653"/>
    <w:rsid w:val="00357BA8"/>
    <w:rsid w:val="00362470"/>
    <w:rsid w:val="0037470A"/>
    <w:rsid w:val="00375066"/>
    <w:rsid w:val="00377612"/>
    <w:rsid w:val="00392966"/>
    <w:rsid w:val="003949B8"/>
    <w:rsid w:val="003B41C0"/>
    <w:rsid w:val="003B7A77"/>
    <w:rsid w:val="003C7142"/>
    <w:rsid w:val="003D615D"/>
    <w:rsid w:val="003F02E0"/>
    <w:rsid w:val="003F48A1"/>
    <w:rsid w:val="0043034E"/>
    <w:rsid w:val="00440817"/>
    <w:rsid w:val="004432D2"/>
    <w:rsid w:val="00446908"/>
    <w:rsid w:val="0045552F"/>
    <w:rsid w:val="00460272"/>
    <w:rsid w:val="004623C5"/>
    <w:rsid w:val="00471ABF"/>
    <w:rsid w:val="00487206"/>
    <w:rsid w:val="0049085C"/>
    <w:rsid w:val="004A0269"/>
    <w:rsid w:val="004C36FB"/>
    <w:rsid w:val="004D163C"/>
    <w:rsid w:val="004E1443"/>
    <w:rsid w:val="004E3EA0"/>
    <w:rsid w:val="004E7A1F"/>
    <w:rsid w:val="004F1BDF"/>
    <w:rsid w:val="004F3900"/>
    <w:rsid w:val="004F4723"/>
    <w:rsid w:val="004F623C"/>
    <w:rsid w:val="0050585C"/>
    <w:rsid w:val="00507452"/>
    <w:rsid w:val="005120A0"/>
    <w:rsid w:val="00515C52"/>
    <w:rsid w:val="00515D9D"/>
    <w:rsid w:val="00522378"/>
    <w:rsid w:val="005307A1"/>
    <w:rsid w:val="00532F3A"/>
    <w:rsid w:val="00545A7B"/>
    <w:rsid w:val="0055005A"/>
    <w:rsid w:val="00553FC3"/>
    <w:rsid w:val="00565786"/>
    <w:rsid w:val="00571A70"/>
    <w:rsid w:val="0057408D"/>
    <w:rsid w:val="0058052E"/>
    <w:rsid w:val="0058133D"/>
    <w:rsid w:val="005878E3"/>
    <w:rsid w:val="00591488"/>
    <w:rsid w:val="00594335"/>
    <w:rsid w:val="005974A4"/>
    <w:rsid w:val="005A1259"/>
    <w:rsid w:val="005C15E8"/>
    <w:rsid w:val="005C4574"/>
    <w:rsid w:val="005D3AA5"/>
    <w:rsid w:val="005D6175"/>
    <w:rsid w:val="005D7898"/>
    <w:rsid w:val="005E56BB"/>
    <w:rsid w:val="005E61A8"/>
    <w:rsid w:val="005E7E40"/>
    <w:rsid w:val="005F5FEA"/>
    <w:rsid w:val="005F75C7"/>
    <w:rsid w:val="005F7DED"/>
    <w:rsid w:val="00603A47"/>
    <w:rsid w:val="00606F9D"/>
    <w:rsid w:val="0061787E"/>
    <w:rsid w:val="0062579C"/>
    <w:rsid w:val="0062580D"/>
    <w:rsid w:val="0063038A"/>
    <w:rsid w:val="00644AF4"/>
    <w:rsid w:val="0065111D"/>
    <w:rsid w:val="00652A0B"/>
    <w:rsid w:val="00652E18"/>
    <w:rsid w:val="00654620"/>
    <w:rsid w:val="00661268"/>
    <w:rsid w:val="00663E36"/>
    <w:rsid w:val="00682358"/>
    <w:rsid w:val="006832DD"/>
    <w:rsid w:val="00691140"/>
    <w:rsid w:val="00691344"/>
    <w:rsid w:val="00691818"/>
    <w:rsid w:val="006A3003"/>
    <w:rsid w:val="006B250A"/>
    <w:rsid w:val="006B3349"/>
    <w:rsid w:val="006C3685"/>
    <w:rsid w:val="006D2FC9"/>
    <w:rsid w:val="007119B9"/>
    <w:rsid w:val="0071791D"/>
    <w:rsid w:val="007241C2"/>
    <w:rsid w:val="007349EA"/>
    <w:rsid w:val="00742C38"/>
    <w:rsid w:val="007458DE"/>
    <w:rsid w:val="00746748"/>
    <w:rsid w:val="007565D7"/>
    <w:rsid w:val="00765742"/>
    <w:rsid w:val="007667EB"/>
    <w:rsid w:val="0077167E"/>
    <w:rsid w:val="00771E82"/>
    <w:rsid w:val="00772B2A"/>
    <w:rsid w:val="007733A1"/>
    <w:rsid w:val="0077609D"/>
    <w:rsid w:val="00777509"/>
    <w:rsid w:val="00777551"/>
    <w:rsid w:val="00782F7C"/>
    <w:rsid w:val="00795FC6"/>
    <w:rsid w:val="007977BB"/>
    <w:rsid w:val="007A2C91"/>
    <w:rsid w:val="007A4141"/>
    <w:rsid w:val="007C222B"/>
    <w:rsid w:val="007C568B"/>
    <w:rsid w:val="007E0266"/>
    <w:rsid w:val="007E08F8"/>
    <w:rsid w:val="007E377C"/>
    <w:rsid w:val="007E585E"/>
    <w:rsid w:val="007F1E33"/>
    <w:rsid w:val="007F1EDA"/>
    <w:rsid w:val="00802F5B"/>
    <w:rsid w:val="00804A7C"/>
    <w:rsid w:val="008079EA"/>
    <w:rsid w:val="008142B5"/>
    <w:rsid w:val="00835600"/>
    <w:rsid w:val="00860099"/>
    <w:rsid w:val="00863D79"/>
    <w:rsid w:val="00877A35"/>
    <w:rsid w:val="008816BC"/>
    <w:rsid w:val="00887908"/>
    <w:rsid w:val="00887BAC"/>
    <w:rsid w:val="0089229F"/>
    <w:rsid w:val="00896963"/>
    <w:rsid w:val="008975EC"/>
    <w:rsid w:val="00897CB8"/>
    <w:rsid w:val="00897DD6"/>
    <w:rsid w:val="008A0C73"/>
    <w:rsid w:val="008A6154"/>
    <w:rsid w:val="008B310C"/>
    <w:rsid w:val="008C0E60"/>
    <w:rsid w:val="008C4071"/>
    <w:rsid w:val="008C41AD"/>
    <w:rsid w:val="008C7664"/>
    <w:rsid w:val="008E0ACD"/>
    <w:rsid w:val="009000B6"/>
    <w:rsid w:val="00900CB6"/>
    <w:rsid w:val="00905A10"/>
    <w:rsid w:val="00920C80"/>
    <w:rsid w:val="00924D17"/>
    <w:rsid w:val="00933AA8"/>
    <w:rsid w:val="00934E0E"/>
    <w:rsid w:val="00936CFC"/>
    <w:rsid w:val="00956F03"/>
    <w:rsid w:val="00971172"/>
    <w:rsid w:val="00973FC4"/>
    <w:rsid w:val="009837A2"/>
    <w:rsid w:val="00985430"/>
    <w:rsid w:val="009B379E"/>
    <w:rsid w:val="009C2998"/>
    <w:rsid w:val="009C7B7F"/>
    <w:rsid w:val="009E7C64"/>
    <w:rsid w:val="009F1787"/>
    <w:rsid w:val="009F6935"/>
    <w:rsid w:val="00A03B29"/>
    <w:rsid w:val="00A0431C"/>
    <w:rsid w:val="00A12942"/>
    <w:rsid w:val="00A165E5"/>
    <w:rsid w:val="00A17773"/>
    <w:rsid w:val="00A212B5"/>
    <w:rsid w:val="00A279AF"/>
    <w:rsid w:val="00A661BC"/>
    <w:rsid w:val="00A675F8"/>
    <w:rsid w:val="00A70D87"/>
    <w:rsid w:val="00A737E7"/>
    <w:rsid w:val="00A74254"/>
    <w:rsid w:val="00A7599A"/>
    <w:rsid w:val="00A8465A"/>
    <w:rsid w:val="00AB3742"/>
    <w:rsid w:val="00AB378B"/>
    <w:rsid w:val="00AB4D9A"/>
    <w:rsid w:val="00AB6A15"/>
    <w:rsid w:val="00AC631C"/>
    <w:rsid w:val="00AD3876"/>
    <w:rsid w:val="00AE73BF"/>
    <w:rsid w:val="00AF71EF"/>
    <w:rsid w:val="00B12D78"/>
    <w:rsid w:val="00B12F49"/>
    <w:rsid w:val="00B212D1"/>
    <w:rsid w:val="00B3043F"/>
    <w:rsid w:val="00B311E3"/>
    <w:rsid w:val="00B4330F"/>
    <w:rsid w:val="00B4385A"/>
    <w:rsid w:val="00B43A59"/>
    <w:rsid w:val="00B468B5"/>
    <w:rsid w:val="00B51C75"/>
    <w:rsid w:val="00B524DF"/>
    <w:rsid w:val="00B66466"/>
    <w:rsid w:val="00B7196A"/>
    <w:rsid w:val="00B74539"/>
    <w:rsid w:val="00B7567D"/>
    <w:rsid w:val="00B76196"/>
    <w:rsid w:val="00B80573"/>
    <w:rsid w:val="00B8106F"/>
    <w:rsid w:val="00B92F01"/>
    <w:rsid w:val="00B9662F"/>
    <w:rsid w:val="00B975BC"/>
    <w:rsid w:val="00BA588C"/>
    <w:rsid w:val="00BB2C4E"/>
    <w:rsid w:val="00BB4110"/>
    <w:rsid w:val="00BC4D9D"/>
    <w:rsid w:val="00BC7C63"/>
    <w:rsid w:val="00BE6017"/>
    <w:rsid w:val="00BF3BFC"/>
    <w:rsid w:val="00BF683A"/>
    <w:rsid w:val="00C01424"/>
    <w:rsid w:val="00C2755F"/>
    <w:rsid w:val="00C27F28"/>
    <w:rsid w:val="00C35F4F"/>
    <w:rsid w:val="00C50084"/>
    <w:rsid w:val="00C512EE"/>
    <w:rsid w:val="00C61B5F"/>
    <w:rsid w:val="00C63659"/>
    <w:rsid w:val="00C675B8"/>
    <w:rsid w:val="00C804B1"/>
    <w:rsid w:val="00C95B43"/>
    <w:rsid w:val="00CA1508"/>
    <w:rsid w:val="00CA1AB8"/>
    <w:rsid w:val="00CA3E71"/>
    <w:rsid w:val="00CC6FF0"/>
    <w:rsid w:val="00CF3FD4"/>
    <w:rsid w:val="00D03737"/>
    <w:rsid w:val="00D115AF"/>
    <w:rsid w:val="00D141CA"/>
    <w:rsid w:val="00D22D1C"/>
    <w:rsid w:val="00D2774C"/>
    <w:rsid w:val="00D53967"/>
    <w:rsid w:val="00D64225"/>
    <w:rsid w:val="00D651ED"/>
    <w:rsid w:val="00D81FED"/>
    <w:rsid w:val="00D85882"/>
    <w:rsid w:val="00D95F93"/>
    <w:rsid w:val="00DA55A4"/>
    <w:rsid w:val="00DC28F3"/>
    <w:rsid w:val="00DD23F4"/>
    <w:rsid w:val="00DE2C36"/>
    <w:rsid w:val="00DE428D"/>
    <w:rsid w:val="00DE6384"/>
    <w:rsid w:val="00DF052A"/>
    <w:rsid w:val="00DF15CA"/>
    <w:rsid w:val="00E266F9"/>
    <w:rsid w:val="00E356FC"/>
    <w:rsid w:val="00E41696"/>
    <w:rsid w:val="00E4280D"/>
    <w:rsid w:val="00E478B9"/>
    <w:rsid w:val="00E73A54"/>
    <w:rsid w:val="00E80517"/>
    <w:rsid w:val="00E81E77"/>
    <w:rsid w:val="00E94C52"/>
    <w:rsid w:val="00EB2C5B"/>
    <w:rsid w:val="00EB4E1B"/>
    <w:rsid w:val="00EC1717"/>
    <w:rsid w:val="00EE4801"/>
    <w:rsid w:val="00EE7ABD"/>
    <w:rsid w:val="00F01A24"/>
    <w:rsid w:val="00F03C9C"/>
    <w:rsid w:val="00F04CD1"/>
    <w:rsid w:val="00F05493"/>
    <w:rsid w:val="00F05AB9"/>
    <w:rsid w:val="00F16A6A"/>
    <w:rsid w:val="00F1759B"/>
    <w:rsid w:val="00F24280"/>
    <w:rsid w:val="00F245DD"/>
    <w:rsid w:val="00F25976"/>
    <w:rsid w:val="00F27CC0"/>
    <w:rsid w:val="00F30AED"/>
    <w:rsid w:val="00F334E7"/>
    <w:rsid w:val="00F3372A"/>
    <w:rsid w:val="00F3632A"/>
    <w:rsid w:val="00F74F5A"/>
    <w:rsid w:val="00F750BA"/>
    <w:rsid w:val="00F90BE0"/>
    <w:rsid w:val="00F93BC7"/>
    <w:rsid w:val="00FA51E3"/>
    <w:rsid w:val="00FB0527"/>
    <w:rsid w:val="00FB44DB"/>
    <w:rsid w:val="00FC7EAC"/>
    <w:rsid w:val="00FD20E7"/>
    <w:rsid w:val="00FE1B4B"/>
    <w:rsid w:val="00FF087C"/>
    <w:rsid w:val="00FF58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6881"/>
  <w15:chartTrackingRefBased/>
  <w15:docId w15:val="{09412433-4D31-436A-B483-BF231F77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7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7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71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71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71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71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71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71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71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71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71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71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71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71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71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71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71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7181"/>
    <w:rPr>
      <w:rFonts w:eastAsiaTheme="majorEastAsia" w:cstheme="majorBidi"/>
      <w:color w:val="272727" w:themeColor="text1" w:themeTint="D8"/>
    </w:rPr>
  </w:style>
  <w:style w:type="paragraph" w:styleId="Ttulo">
    <w:name w:val="Title"/>
    <w:basedOn w:val="Normal"/>
    <w:next w:val="Normal"/>
    <w:link w:val="TtuloCar"/>
    <w:uiPriority w:val="10"/>
    <w:qFormat/>
    <w:rsid w:val="000C7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71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71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71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7181"/>
    <w:pPr>
      <w:spacing w:before="160"/>
      <w:jc w:val="center"/>
    </w:pPr>
    <w:rPr>
      <w:i/>
      <w:iCs/>
      <w:color w:val="404040" w:themeColor="text1" w:themeTint="BF"/>
    </w:rPr>
  </w:style>
  <w:style w:type="character" w:customStyle="1" w:styleId="CitaCar">
    <w:name w:val="Cita Car"/>
    <w:basedOn w:val="Fuentedeprrafopredeter"/>
    <w:link w:val="Cita"/>
    <w:uiPriority w:val="29"/>
    <w:rsid w:val="000C7181"/>
    <w:rPr>
      <w:i/>
      <w:iCs/>
      <w:color w:val="404040" w:themeColor="text1" w:themeTint="BF"/>
    </w:rPr>
  </w:style>
  <w:style w:type="paragraph" w:styleId="Prrafodelista">
    <w:name w:val="List Paragraph"/>
    <w:basedOn w:val="Normal"/>
    <w:uiPriority w:val="34"/>
    <w:qFormat/>
    <w:rsid w:val="000C7181"/>
    <w:pPr>
      <w:ind w:left="720"/>
      <w:contextualSpacing/>
    </w:pPr>
  </w:style>
  <w:style w:type="character" w:styleId="nfasisintenso">
    <w:name w:val="Intense Emphasis"/>
    <w:basedOn w:val="Fuentedeprrafopredeter"/>
    <w:uiPriority w:val="21"/>
    <w:qFormat/>
    <w:rsid w:val="000C7181"/>
    <w:rPr>
      <w:i/>
      <w:iCs/>
      <w:color w:val="0F4761" w:themeColor="accent1" w:themeShade="BF"/>
    </w:rPr>
  </w:style>
  <w:style w:type="paragraph" w:styleId="Citadestacada">
    <w:name w:val="Intense Quote"/>
    <w:basedOn w:val="Normal"/>
    <w:next w:val="Normal"/>
    <w:link w:val="CitadestacadaCar"/>
    <w:uiPriority w:val="30"/>
    <w:qFormat/>
    <w:rsid w:val="000C7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7181"/>
    <w:rPr>
      <w:i/>
      <w:iCs/>
      <w:color w:val="0F4761" w:themeColor="accent1" w:themeShade="BF"/>
    </w:rPr>
  </w:style>
  <w:style w:type="character" w:styleId="Referenciaintensa">
    <w:name w:val="Intense Reference"/>
    <w:basedOn w:val="Fuentedeprrafopredeter"/>
    <w:uiPriority w:val="32"/>
    <w:qFormat/>
    <w:rsid w:val="000C7181"/>
    <w:rPr>
      <w:b/>
      <w:bCs/>
      <w:smallCaps/>
      <w:color w:val="0F4761" w:themeColor="accent1" w:themeShade="BF"/>
      <w:spacing w:val="5"/>
    </w:rPr>
  </w:style>
  <w:style w:type="character" w:styleId="Hipervnculo">
    <w:name w:val="Hyperlink"/>
    <w:basedOn w:val="Fuentedeprrafopredeter"/>
    <w:uiPriority w:val="99"/>
    <w:unhideWhenUsed/>
    <w:rsid w:val="003F48A1"/>
    <w:rPr>
      <w:color w:val="467886" w:themeColor="hyperlink"/>
      <w:u w:val="single"/>
    </w:rPr>
  </w:style>
  <w:style w:type="character" w:styleId="Mencinsinresolver">
    <w:name w:val="Unresolved Mention"/>
    <w:basedOn w:val="Fuentedeprrafopredeter"/>
    <w:uiPriority w:val="99"/>
    <w:semiHidden/>
    <w:unhideWhenUsed/>
    <w:rsid w:val="003F48A1"/>
    <w:rPr>
      <w:color w:val="605E5C"/>
      <w:shd w:val="clear" w:color="auto" w:fill="E1DFDD"/>
    </w:rPr>
  </w:style>
  <w:style w:type="character" w:styleId="Hipervnculovisitado">
    <w:name w:val="FollowedHyperlink"/>
    <w:basedOn w:val="Fuentedeprrafopredeter"/>
    <w:uiPriority w:val="99"/>
    <w:semiHidden/>
    <w:unhideWhenUsed/>
    <w:rsid w:val="00322CE7"/>
    <w:rPr>
      <w:color w:val="96607D" w:themeColor="followedHyperlink"/>
      <w:u w:val="single"/>
    </w:rPr>
  </w:style>
  <w:style w:type="table" w:styleId="Tablaconcuadrcula">
    <w:name w:val="Table Grid"/>
    <w:basedOn w:val="Tablanormal"/>
    <w:uiPriority w:val="39"/>
    <w:rsid w:val="00B1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675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75B8"/>
  </w:style>
  <w:style w:type="paragraph" w:styleId="Piedepgina">
    <w:name w:val="footer"/>
    <w:basedOn w:val="Normal"/>
    <w:link w:val="PiedepginaCar"/>
    <w:uiPriority w:val="99"/>
    <w:unhideWhenUsed/>
    <w:rsid w:val="00C675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am.es/uam/oficinasolidaria/cud/programa-practicas-cooperacion" TargetMode="External"/><Relationship Id="rId18" Type="http://schemas.openxmlformats.org/officeDocument/2006/relationships/hyperlink" Target="https://www.uam.es/uam/unidad-equidad-social/webinar-how-can-universities-engage-more-inclusively-with-migration-and-cultural-diversity" TargetMode="External"/><Relationship Id="rId26" Type="http://schemas.openxmlformats.org/officeDocument/2006/relationships/hyperlink" Target="https://www.uam.es/uam/unidad-equidad-social-diversidad-funcional/convocatorias/becas-indra-group-fundacion-universia" TargetMode="External"/><Relationship Id="rId3" Type="http://schemas.openxmlformats.org/officeDocument/2006/relationships/settings" Target="settings.xml"/><Relationship Id="rId21" Type="http://schemas.openxmlformats.org/officeDocument/2006/relationships/hyperlink" Target="https://formaciondocente.uam.es/course/1870"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uam.es/uam/unidad-equidad-social/uam-refuerza-compromiso-equidad-social-campamentos-saharauis" TargetMode="External"/><Relationship Id="rId17" Type="http://schemas.openxmlformats.org/officeDocument/2006/relationships/hyperlink" Target="https://civis.eu/en/get-informed/events/how-can-universities-engage-more-inclusively-with-migration-and-cultural-diversity" TargetMode="External"/><Relationship Id="rId25" Type="http://schemas.openxmlformats.org/officeDocument/2006/relationships/hyperlink" Target="mailto:patricia.sampedro@uam.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am.es/uam/unidad-equidad-social/jornada-igualdad-discapacidad-empleo-publico" TargetMode="External"/><Relationship Id="rId20" Type="http://schemas.openxmlformats.org/officeDocument/2006/relationships/hyperlink" Target="https://redsapdu.es/encuentros/" TargetMode="External"/><Relationship Id="rId29" Type="http://schemas.openxmlformats.org/officeDocument/2006/relationships/hyperlink" Target="https://twitter.com/uam_madr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taredesg.org/global/sellos-de-compromiso-en-sostenibilidad.html" TargetMode="External"/><Relationship Id="rId24" Type="http://schemas.openxmlformats.org/officeDocument/2006/relationships/hyperlink" Target="https://formaciondocente.uam.es/course/1880" TargetMode="External"/><Relationship Id="rId32" Type="http://schemas.openxmlformats.org/officeDocument/2006/relationships/hyperlink" Target="https://alumni.uam.es" TargetMode="External"/><Relationship Id="rId5" Type="http://schemas.openxmlformats.org/officeDocument/2006/relationships/footnotes" Target="footnotes.xml"/><Relationship Id="rId15" Type="http://schemas.openxmlformats.org/officeDocument/2006/relationships/hyperlink" Target="https://www.uam.es/uam/unidad-equidad-social/voces-y-signos-primera-interpretacion-en-lse-del-coro-uam" TargetMode="External"/><Relationship Id="rId23" Type="http://schemas.openxmlformats.org/officeDocument/2006/relationships/hyperlink" Target="https://formaciondocente.uam.es/course/1814" TargetMode="External"/><Relationship Id="rId28" Type="http://schemas.openxmlformats.org/officeDocument/2006/relationships/hyperlink" Target="https://www.linkedin.com/in/universidadautonomademadrid/" TargetMode="External"/><Relationship Id="rId10" Type="http://schemas.openxmlformats.org/officeDocument/2006/relationships/hyperlink" Target="https://redsapdu.es/x-jornadas-de-trabajo/" TargetMode="External"/><Relationship Id="rId19" Type="http://schemas.openxmlformats.org/officeDocument/2006/relationships/hyperlink" Target="https://www.uam.es/uam/unidad-equidad-social-diversidad-funcional/eventos/taller-introduccion-basica-a-la-lengua-de-signos" TargetMode="External"/><Relationship Id="rId31" Type="http://schemas.openxmlformats.org/officeDocument/2006/relationships/hyperlink" Target="https://www.youtube.com/user/uam" TargetMode="External"/><Relationship Id="rId4" Type="http://schemas.openxmlformats.org/officeDocument/2006/relationships/webSettings" Target="webSettings.xml"/><Relationship Id="rId9" Type="http://schemas.openxmlformats.org/officeDocument/2006/relationships/hyperlink" Target="https://www.uam.es/uam/unidad-equidad-social/voces-y-signos-primera-interpretacion-en-lse-del-coro-uam" TargetMode="External"/><Relationship Id="rId14" Type="http://schemas.openxmlformats.org/officeDocument/2006/relationships/hyperlink" Target="https://www.uam.es/uam/compromiso-social-sostenibilidad-uam-contra-el-acoso" TargetMode="External"/><Relationship Id="rId22" Type="http://schemas.openxmlformats.org/officeDocument/2006/relationships/hyperlink" Target="https://formaciondocente.uam.es/course/1813" TargetMode="External"/><Relationship Id="rId27" Type="http://schemas.openxmlformats.org/officeDocument/2006/relationships/hyperlink" Target="https://www.uam.es/uam/oficina-practicas-externas/convocatorias/once-crue" TargetMode="External"/><Relationship Id="rId30" Type="http://schemas.openxmlformats.org/officeDocument/2006/relationships/hyperlink" Target="https://www.facebook.com/universidadautonomademadrid/" TargetMode="External"/><Relationship Id="rId8" Type="http://schemas.openxmlformats.org/officeDocument/2006/relationships/hyperlink" Target="https://www.uam.es/uam/unidad-equidad-social-diversidad-funcional/noticias/3-diciembre-2025-en-la-ua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1711</TotalTime>
  <Pages>5</Pages>
  <Words>1845</Words>
  <Characters>10148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Nieto Vizcaino</dc:creator>
  <cp:keywords/>
  <dc:description/>
  <cp:lastModifiedBy>Alexis Velo Brunet</cp:lastModifiedBy>
  <cp:revision>339</cp:revision>
  <dcterms:created xsi:type="dcterms:W3CDTF">2026-01-14T08:10:00Z</dcterms:created>
  <dcterms:modified xsi:type="dcterms:W3CDTF">2026-02-13T13:21:00Z</dcterms:modified>
</cp:coreProperties>
</file>